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B3" w:rsidRPr="00437336" w:rsidRDefault="00E77CB3" w:rsidP="00437336">
      <w:pPr>
        <w:jc w:val="center"/>
        <w:rPr>
          <w:lang w:val="fr-FR"/>
        </w:rPr>
      </w:pPr>
      <w:bookmarkStart w:id="0" w:name="_GoBack"/>
      <w:bookmarkEnd w:id="0"/>
    </w:p>
    <w:p w:rsidR="000C368D" w:rsidRPr="00437336" w:rsidRDefault="000C368D" w:rsidP="00437336">
      <w:pPr>
        <w:jc w:val="center"/>
        <w:rPr>
          <w:lang w:val="fr-FR"/>
        </w:rPr>
      </w:pPr>
    </w:p>
    <w:p w:rsidR="000C368D" w:rsidRPr="00437336" w:rsidRDefault="000C368D" w:rsidP="00437336">
      <w:pPr>
        <w:jc w:val="center"/>
        <w:rPr>
          <w:lang w:val="fr-FR"/>
        </w:rPr>
      </w:pPr>
    </w:p>
    <w:p w:rsidR="00E77CB3" w:rsidRPr="00437336" w:rsidRDefault="004A3B56" w:rsidP="00437336">
      <w:pPr>
        <w:jc w:val="center"/>
        <w:rPr>
          <w:lang w:val="fr-FR"/>
        </w:rPr>
      </w:pPr>
      <w:r w:rsidRPr="00437336">
        <w:rPr>
          <w:lang w:val="fr-FR"/>
        </w:rPr>
        <w:t>PREMIÈRE SECTION</w:t>
      </w:r>
    </w:p>
    <w:p w:rsidR="00E77CB3" w:rsidRPr="00437336" w:rsidRDefault="00E77CB3" w:rsidP="00437336">
      <w:pPr>
        <w:jc w:val="center"/>
        <w:rPr>
          <w:lang w:val="fr-FR"/>
        </w:rPr>
      </w:pPr>
    </w:p>
    <w:p w:rsidR="000C368D" w:rsidRPr="00437336" w:rsidRDefault="000C368D" w:rsidP="00437336">
      <w:pPr>
        <w:jc w:val="center"/>
        <w:rPr>
          <w:lang w:val="fr-FR"/>
        </w:rPr>
      </w:pPr>
    </w:p>
    <w:p w:rsidR="000C368D" w:rsidRPr="00437336" w:rsidRDefault="000C368D" w:rsidP="00437336">
      <w:pPr>
        <w:jc w:val="center"/>
        <w:rPr>
          <w:lang w:val="fr-FR"/>
        </w:rPr>
      </w:pPr>
    </w:p>
    <w:p w:rsidR="000C368D" w:rsidRPr="00437336" w:rsidRDefault="000C368D" w:rsidP="00437336">
      <w:pPr>
        <w:jc w:val="center"/>
        <w:rPr>
          <w:lang w:val="fr-FR"/>
        </w:rPr>
      </w:pPr>
    </w:p>
    <w:p w:rsidR="000C368D" w:rsidRPr="00437336" w:rsidRDefault="000C368D" w:rsidP="00437336">
      <w:pPr>
        <w:jc w:val="center"/>
        <w:rPr>
          <w:lang w:val="fr-FR"/>
        </w:rPr>
      </w:pPr>
    </w:p>
    <w:p w:rsidR="000C368D" w:rsidRPr="00437336" w:rsidRDefault="000C368D" w:rsidP="00437336">
      <w:pPr>
        <w:jc w:val="center"/>
        <w:rPr>
          <w:lang w:val="fr-FR"/>
        </w:rPr>
      </w:pPr>
    </w:p>
    <w:p w:rsidR="00E77CB3" w:rsidRPr="00437336" w:rsidRDefault="00E77CB3" w:rsidP="00437336">
      <w:pPr>
        <w:jc w:val="center"/>
        <w:rPr>
          <w:b/>
          <w:lang w:val="fr-FR"/>
        </w:rPr>
      </w:pPr>
      <w:bookmarkStart w:id="1" w:name="To"/>
      <w:r w:rsidRPr="00437336">
        <w:rPr>
          <w:b/>
          <w:lang w:val="fr-FR"/>
        </w:rPr>
        <w:t xml:space="preserve">AFFAIRE </w:t>
      </w:r>
      <w:bookmarkEnd w:id="1"/>
      <w:r w:rsidR="004A3B56" w:rsidRPr="00437336">
        <w:rPr>
          <w:b/>
          <w:lang w:val="fr-FR"/>
        </w:rPr>
        <w:t>GIORGIONI c. ITALIE</w:t>
      </w:r>
    </w:p>
    <w:p w:rsidR="00E77CB3" w:rsidRPr="00437336" w:rsidRDefault="00E77CB3" w:rsidP="00437336">
      <w:pPr>
        <w:jc w:val="center"/>
        <w:rPr>
          <w:lang w:val="fr-FR"/>
        </w:rPr>
      </w:pPr>
    </w:p>
    <w:p w:rsidR="000C368D" w:rsidRPr="00437336" w:rsidRDefault="00E77CB3" w:rsidP="00437336">
      <w:pPr>
        <w:jc w:val="center"/>
        <w:rPr>
          <w:rFonts w:ascii="Times New Roman" w:eastAsiaTheme="minorHAnsi" w:hAnsi="Times New Roman" w:cs="Times New Roman"/>
          <w:bCs/>
          <w:color w:val="000000"/>
          <w:szCs w:val="24"/>
          <w:lang w:val="fr-FR"/>
        </w:rPr>
      </w:pPr>
      <w:r w:rsidRPr="00437336">
        <w:rPr>
          <w:i/>
          <w:lang w:val="fr-FR"/>
        </w:rPr>
        <w:t>(</w:t>
      </w:r>
      <w:r w:rsidR="004A3B56" w:rsidRPr="00437336">
        <w:rPr>
          <w:i/>
          <w:lang w:val="fr-FR"/>
        </w:rPr>
        <w:t>Requête n</w:t>
      </w:r>
      <w:r w:rsidR="004A3B56" w:rsidRPr="00437336">
        <w:rPr>
          <w:i/>
          <w:vertAlign w:val="superscript"/>
          <w:lang w:val="fr-FR"/>
        </w:rPr>
        <w:t>o</w:t>
      </w:r>
      <w:r w:rsidR="004A3B56" w:rsidRPr="00437336">
        <w:rPr>
          <w:i/>
          <w:lang w:val="fr-FR"/>
        </w:rPr>
        <w:t xml:space="preserve"> 43299/12</w:t>
      </w:r>
      <w:r w:rsidRPr="00437336">
        <w:rPr>
          <w:i/>
          <w:lang w:val="fr-FR"/>
        </w:rPr>
        <w:t>)</w:t>
      </w:r>
    </w:p>
    <w:p w:rsidR="000C368D" w:rsidRPr="00437336" w:rsidRDefault="000C368D" w:rsidP="00437336">
      <w:pPr>
        <w:jc w:val="center"/>
        <w:rPr>
          <w:rFonts w:ascii="Times New Roman" w:eastAsiaTheme="minorHAnsi" w:hAnsi="Times New Roman" w:cs="Times New Roman"/>
          <w:color w:val="000000"/>
          <w:szCs w:val="24"/>
          <w:lang w:val="fr-FR"/>
        </w:rPr>
      </w:pPr>
    </w:p>
    <w:p w:rsidR="000C368D" w:rsidRPr="00437336" w:rsidRDefault="000C368D" w:rsidP="00437336">
      <w:pPr>
        <w:jc w:val="center"/>
        <w:rPr>
          <w:rFonts w:ascii="Times New Roman" w:eastAsiaTheme="minorHAnsi" w:hAnsi="Times New Roman" w:cs="Times New Roman"/>
          <w:color w:val="000000"/>
          <w:szCs w:val="24"/>
          <w:lang w:val="fr-FR"/>
        </w:rPr>
      </w:pPr>
    </w:p>
    <w:p w:rsidR="000C368D" w:rsidRPr="00437336" w:rsidRDefault="000C368D" w:rsidP="00437336">
      <w:pPr>
        <w:jc w:val="center"/>
        <w:rPr>
          <w:rFonts w:ascii="Times New Roman" w:eastAsiaTheme="minorHAnsi" w:hAnsi="Times New Roman" w:cs="Times New Roman"/>
          <w:color w:val="000000"/>
          <w:szCs w:val="24"/>
          <w:lang w:val="fr-FR"/>
        </w:rPr>
      </w:pPr>
    </w:p>
    <w:p w:rsidR="000C368D" w:rsidRPr="00437336" w:rsidRDefault="000C368D" w:rsidP="00437336">
      <w:pPr>
        <w:jc w:val="center"/>
        <w:rPr>
          <w:rFonts w:ascii="Times New Roman" w:eastAsiaTheme="minorHAnsi" w:hAnsi="Times New Roman" w:cs="Times New Roman"/>
          <w:color w:val="000000"/>
          <w:szCs w:val="24"/>
          <w:lang w:val="fr-FR"/>
        </w:rPr>
      </w:pPr>
    </w:p>
    <w:p w:rsidR="000C368D" w:rsidRPr="00437336" w:rsidRDefault="000C368D" w:rsidP="00437336">
      <w:pPr>
        <w:jc w:val="center"/>
        <w:rPr>
          <w:rFonts w:ascii="Times New Roman" w:eastAsiaTheme="minorHAnsi" w:hAnsi="Times New Roman" w:cs="Times New Roman"/>
          <w:color w:val="000000"/>
          <w:szCs w:val="24"/>
          <w:lang w:val="fr-FR"/>
        </w:rPr>
      </w:pPr>
    </w:p>
    <w:p w:rsidR="000C368D" w:rsidRPr="00437336" w:rsidRDefault="000C368D" w:rsidP="00437336">
      <w:pPr>
        <w:jc w:val="center"/>
        <w:rPr>
          <w:rFonts w:ascii="Times New Roman" w:eastAsiaTheme="minorHAnsi" w:hAnsi="Times New Roman" w:cs="Times New Roman"/>
          <w:color w:val="000000"/>
          <w:szCs w:val="24"/>
          <w:lang w:val="fr-FR"/>
        </w:rPr>
      </w:pPr>
    </w:p>
    <w:p w:rsidR="00437336" w:rsidRPr="00437336" w:rsidRDefault="00437336" w:rsidP="00437336">
      <w:pPr>
        <w:jc w:val="center"/>
        <w:rPr>
          <w:rFonts w:ascii="Times New Roman" w:eastAsiaTheme="minorHAnsi" w:hAnsi="Times New Roman" w:cs="Times New Roman"/>
          <w:color w:val="000000"/>
          <w:szCs w:val="24"/>
          <w:lang w:val="fr-FR"/>
        </w:rPr>
      </w:pPr>
    </w:p>
    <w:p w:rsidR="00437336" w:rsidRPr="00437336" w:rsidRDefault="00437336" w:rsidP="00437336">
      <w:pPr>
        <w:jc w:val="center"/>
        <w:rPr>
          <w:rFonts w:ascii="Times New Roman" w:eastAsiaTheme="minorHAnsi" w:hAnsi="Times New Roman" w:cs="Times New Roman"/>
          <w:color w:val="000000"/>
          <w:szCs w:val="24"/>
          <w:lang w:val="fr-FR"/>
        </w:rPr>
      </w:pPr>
    </w:p>
    <w:p w:rsidR="00437336" w:rsidRPr="00437336" w:rsidRDefault="00437336" w:rsidP="00437336">
      <w:pPr>
        <w:jc w:val="center"/>
        <w:rPr>
          <w:rFonts w:ascii="Times New Roman" w:eastAsiaTheme="minorHAnsi" w:hAnsi="Times New Roman" w:cs="Times New Roman"/>
          <w:color w:val="000000"/>
          <w:szCs w:val="24"/>
          <w:lang w:val="fr-FR"/>
        </w:rPr>
      </w:pPr>
    </w:p>
    <w:p w:rsidR="000C368D" w:rsidRPr="00437336" w:rsidRDefault="000C368D" w:rsidP="00437336">
      <w:pPr>
        <w:jc w:val="center"/>
        <w:rPr>
          <w:rFonts w:ascii="Times New Roman" w:eastAsiaTheme="minorHAnsi" w:hAnsi="Times New Roman" w:cs="Times New Roman"/>
          <w:color w:val="000000"/>
          <w:szCs w:val="24"/>
          <w:lang w:val="fr-FR"/>
        </w:rPr>
      </w:pPr>
    </w:p>
    <w:p w:rsidR="000C368D" w:rsidRPr="00437336" w:rsidRDefault="000C368D" w:rsidP="00437336">
      <w:pPr>
        <w:jc w:val="center"/>
        <w:rPr>
          <w:rFonts w:ascii="Times New Roman" w:eastAsiaTheme="minorHAnsi" w:hAnsi="Times New Roman" w:cs="Times New Roman"/>
          <w:color w:val="000000"/>
          <w:szCs w:val="24"/>
          <w:lang w:val="fr-FR"/>
        </w:rPr>
      </w:pPr>
    </w:p>
    <w:p w:rsidR="000C368D" w:rsidRPr="00437336" w:rsidRDefault="000C368D" w:rsidP="00437336">
      <w:pPr>
        <w:jc w:val="center"/>
        <w:rPr>
          <w:rFonts w:ascii="Times New Roman" w:eastAsiaTheme="minorHAnsi" w:hAnsi="Times New Roman" w:cs="Times New Roman"/>
          <w:color w:val="000000"/>
          <w:szCs w:val="24"/>
          <w:lang w:val="fr-FR"/>
        </w:rPr>
      </w:pPr>
    </w:p>
    <w:p w:rsidR="000C368D" w:rsidRPr="00437336" w:rsidRDefault="000C368D" w:rsidP="00437336">
      <w:pPr>
        <w:jc w:val="center"/>
        <w:rPr>
          <w:rFonts w:ascii="Times New Roman" w:eastAsiaTheme="minorHAnsi" w:hAnsi="Times New Roman" w:cs="Times New Roman"/>
          <w:color w:val="000000"/>
          <w:szCs w:val="24"/>
          <w:lang w:val="fr-FR"/>
        </w:rPr>
      </w:pPr>
      <w:r w:rsidRPr="00437336">
        <w:rPr>
          <w:rFonts w:ascii="Times New Roman" w:eastAsiaTheme="minorHAnsi" w:hAnsi="Times New Roman" w:cs="Times New Roman"/>
          <w:color w:val="000000"/>
          <w:szCs w:val="24"/>
          <w:lang w:val="fr-FR"/>
        </w:rPr>
        <w:t>ARRÊT</w:t>
      </w:r>
    </w:p>
    <w:p w:rsidR="000C368D" w:rsidRPr="00437336" w:rsidRDefault="000C368D" w:rsidP="00437336">
      <w:pPr>
        <w:jc w:val="center"/>
        <w:rPr>
          <w:rFonts w:ascii="Times New Roman" w:eastAsiaTheme="minorHAnsi" w:hAnsi="Times New Roman" w:cs="Times New Roman"/>
          <w:bCs/>
          <w:color w:val="000000"/>
          <w:szCs w:val="24"/>
          <w:lang w:val="fr-FR"/>
        </w:rPr>
      </w:pPr>
    </w:p>
    <w:p w:rsidR="000C368D" w:rsidRPr="00437336" w:rsidRDefault="000C368D" w:rsidP="00437336">
      <w:pPr>
        <w:jc w:val="center"/>
        <w:rPr>
          <w:rFonts w:ascii="Times New Roman" w:eastAsiaTheme="minorHAnsi" w:hAnsi="Times New Roman" w:cs="Times New Roman"/>
          <w:bCs/>
          <w:color w:val="000000"/>
          <w:szCs w:val="24"/>
          <w:lang w:val="fr-FR"/>
        </w:rPr>
      </w:pPr>
    </w:p>
    <w:p w:rsidR="000C368D" w:rsidRPr="00437336" w:rsidRDefault="000C368D" w:rsidP="00437336">
      <w:pPr>
        <w:jc w:val="center"/>
        <w:rPr>
          <w:rFonts w:ascii="Times New Roman" w:eastAsiaTheme="minorHAnsi" w:hAnsi="Times New Roman" w:cs="Times New Roman"/>
          <w:bCs/>
          <w:color w:val="000000"/>
          <w:szCs w:val="24"/>
          <w:lang w:val="fr-FR"/>
        </w:rPr>
      </w:pPr>
    </w:p>
    <w:p w:rsidR="000C368D" w:rsidRPr="00437336" w:rsidRDefault="000C368D" w:rsidP="00437336">
      <w:pPr>
        <w:jc w:val="center"/>
        <w:rPr>
          <w:rFonts w:ascii="Times New Roman" w:eastAsiaTheme="minorHAnsi" w:hAnsi="Times New Roman" w:cs="Times New Roman"/>
          <w:bCs/>
          <w:color w:val="000000"/>
          <w:szCs w:val="24"/>
          <w:lang w:val="fr-FR"/>
        </w:rPr>
      </w:pPr>
      <w:r w:rsidRPr="00437336">
        <w:rPr>
          <w:rFonts w:ascii="Times New Roman" w:eastAsiaTheme="minorHAnsi" w:hAnsi="Times New Roman" w:cs="Times New Roman"/>
          <w:bCs/>
          <w:color w:val="000000"/>
          <w:szCs w:val="24"/>
          <w:lang w:val="fr-FR"/>
        </w:rPr>
        <w:t>STRASBOURG</w:t>
      </w:r>
    </w:p>
    <w:p w:rsidR="000C368D" w:rsidRPr="00437336" w:rsidRDefault="000C368D" w:rsidP="00437336">
      <w:pPr>
        <w:jc w:val="center"/>
        <w:rPr>
          <w:rFonts w:ascii="Times New Roman" w:eastAsiaTheme="minorHAnsi" w:hAnsi="Times New Roman" w:cs="Times New Roman"/>
          <w:bCs/>
          <w:color w:val="000000"/>
          <w:szCs w:val="24"/>
          <w:lang w:val="fr-FR"/>
        </w:rPr>
      </w:pPr>
    </w:p>
    <w:p w:rsidR="000C368D" w:rsidRPr="00437336" w:rsidRDefault="004E3EE3" w:rsidP="00437336">
      <w:pPr>
        <w:jc w:val="center"/>
        <w:rPr>
          <w:rFonts w:ascii="Times New Roman" w:eastAsiaTheme="minorHAnsi" w:hAnsi="Times New Roman" w:cs="Times New Roman"/>
          <w:bCs/>
          <w:color w:val="000000"/>
          <w:szCs w:val="24"/>
          <w:lang w:val="fr-FR"/>
        </w:rPr>
      </w:pPr>
      <w:r w:rsidRPr="00437336">
        <w:rPr>
          <w:rFonts w:ascii="Times New Roman" w:eastAsiaTheme="minorHAnsi" w:hAnsi="Times New Roman" w:cs="Times New Roman"/>
          <w:bCs/>
          <w:color w:val="000000"/>
          <w:szCs w:val="24"/>
          <w:lang w:val="fr-FR"/>
        </w:rPr>
        <w:t>15 septembre 2016</w:t>
      </w:r>
    </w:p>
    <w:p w:rsidR="000C368D" w:rsidRPr="00437336" w:rsidRDefault="000C368D" w:rsidP="00437336">
      <w:pPr>
        <w:jc w:val="center"/>
        <w:rPr>
          <w:rFonts w:ascii="Times New Roman" w:eastAsiaTheme="minorHAnsi" w:hAnsi="Times New Roman" w:cs="Times New Roman"/>
          <w:bCs/>
          <w:color w:val="000000"/>
          <w:szCs w:val="24"/>
          <w:lang w:val="fr-FR"/>
        </w:rPr>
      </w:pPr>
    </w:p>
    <w:p w:rsidR="004E3EE3" w:rsidRPr="00437336" w:rsidRDefault="004E3EE3" w:rsidP="00437336">
      <w:pPr>
        <w:jc w:val="center"/>
        <w:rPr>
          <w:rFonts w:ascii="Times New Roman" w:eastAsiaTheme="minorHAnsi" w:hAnsi="Times New Roman" w:cs="Times New Roman"/>
          <w:bCs/>
          <w:color w:val="000000"/>
          <w:szCs w:val="24"/>
          <w:lang w:val="fr-FR"/>
        </w:rPr>
      </w:pPr>
    </w:p>
    <w:p w:rsidR="00890D63" w:rsidRPr="00437336" w:rsidRDefault="00890D63" w:rsidP="00437336">
      <w:pPr>
        <w:jc w:val="center"/>
        <w:rPr>
          <w:rFonts w:ascii="Times New Roman" w:eastAsiaTheme="minorHAnsi" w:hAnsi="Times New Roman" w:cs="Times New Roman"/>
          <w:bCs/>
          <w:color w:val="000000"/>
          <w:szCs w:val="24"/>
          <w:lang w:val="fr-FR"/>
        </w:rPr>
      </w:pPr>
    </w:p>
    <w:p w:rsidR="00946D5B" w:rsidRPr="00437336" w:rsidRDefault="000C368D" w:rsidP="00437336">
      <w:pPr>
        <w:rPr>
          <w:lang w:val="fr-FR"/>
        </w:rPr>
      </w:pPr>
      <w:r w:rsidRPr="00437336">
        <w:rPr>
          <w:rFonts w:ascii="Times New Roman" w:eastAsiaTheme="minorHAnsi" w:hAnsi="Times New Roman" w:cs="Times New Roman"/>
          <w:bCs/>
          <w:i/>
          <w:color w:val="000000"/>
          <w:sz w:val="22"/>
          <w:szCs w:val="24"/>
          <w:lang w:val="fr-FR"/>
        </w:rPr>
        <w:t>Cet arrêt deviendra définitif dans les conditions définies à l</w:t>
      </w:r>
      <w:r w:rsidR="00437336" w:rsidRPr="00437336">
        <w:rPr>
          <w:rFonts w:ascii="Times New Roman" w:eastAsiaTheme="minorHAnsi" w:hAnsi="Times New Roman" w:cs="Times New Roman"/>
          <w:bCs/>
          <w:i/>
          <w:color w:val="000000"/>
          <w:sz w:val="22"/>
          <w:szCs w:val="24"/>
          <w:lang w:val="fr-FR"/>
        </w:rPr>
        <w:t>’</w:t>
      </w:r>
      <w:r w:rsidRPr="00437336">
        <w:rPr>
          <w:rFonts w:ascii="Times New Roman" w:eastAsiaTheme="minorHAnsi" w:hAnsi="Times New Roman" w:cs="Times New Roman"/>
          <w:bCs/>
          <w:i/>
          <w:color w:val="000000"/>
          <w:sz w:val="22"/>
          <w:szCs w:val="24"/>
          <w:lang w:val="fr-FR"/>
        </w:rPr>
        <w:t>article 44 § 2 de la Convention. Il peu</w:t>
      </w:r>
      <w:r w:rsidR="004E3EE3" w:rsidRPr="00437336">
        <w:rPr>
          <w:rFonts w:ascii="Times New Roman" w:eastAsiaTheme="minorHAnsi" w:hAnsi="Times New Roman" w:cs="Times New Roman"/>
          <w:bCs/>
          <w:i/>
          <w:color w:val="000000"/>
          <w:sz w:val="22"/>
          <w:szCs w:val="24"/>
          <w:lang w:val="fr-FR"/>
        </w:rPr>
        <w:t>t subir des retouches de forme.</w:t>
      </w:r>
    </w:p>
    <w:p w:rsidR="000C368D" w:rsidRPr="00437336" w:rsidRDefault="000C368D" w:rsidP="00437336">
      <w:pPr>
        <w:pStyle w:val="JuCase"/>
        <w:rPr>
          <w:lang w:val="fr-FR"/>
        </w:rPr>
        <w:sectPr w:rsidR="000C368D" w:rsidRPr="00437336" w:rsidSect="000C368D">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E77CB3" w:rsidRPr="00437336" w:rsidRDefault="00E77CB3" w:rsidP="00437336">
      <w:pPr>
        <w:pStyle w:val="JuCase"/>
        <w:rPr>
          <w:lang w:val="fr-FR"/>
        </w:rPr>
      </w:pPr>
      <w:r w:rsidRPr="00437336">
        <w:rPr>
          <w:lang w:val="fr-FR"/>
        </w:rPr>
        <w:lastRenderedPageBreak/>
        <w:t>En l</w:t>
      </w:r>
      <w:r w:rsidR="00437336" w:rsidRPr="00437336">
        <w:rPr>
          <w:lang w:val="fr-FR"/>
        </w:rPr>
        <w:t>’</w:t>
      </w:r>
      <w:r w:rsidRPr="00437336">
        <w:rPr>
          <w:lang w:val="fr-FR"/>
        </w:rPr>
        <w:t xml:space="preserve">affaire </w:t>
      </w:r>
      <w:r w:rsidR="004A3B56" w:rsidRPr="00437336">
        <w:rPr>
          <w:lang w:val="fr-FR"/>
        </w:rPr>
        <w:t>Giorgioni c. Italie</w:t>
      </w:r>
      <w:r w:rsidRPr="00437336">
        <w:rPr>
          <w:lang w:val="fr-FR"/>
        </w:rPr>
        <w:t>,</w:t>
      </w:r>
    </w:p>
    <w:p w:rsidR="00E77CB3" w:rsidRPr="00437336" w:rsidRDefault="00E77CB3" w:rsidP="00437336">
      <w:pPr>
        <w:pStyle w:val="ECHRPara"/>
        <w:rPr>
          <w:lang w:val="fr-FR"/>
        </w:rPr>
      </w:pPr>
      <w:r w:rsidRPr="00437336">
        <w:rPr>
          <w:lang w:val="fr-FR"/>
        </w:rPr>
        <w:t>La Cour européenne des droits de l</w:t>
      </w:r>
      <w:r w:rsidR="00437336" w:rsidRPr="00437336">
        <w:rPr>
          <w:lang w:val="fr-FR"/>
        </w:rPr>
        <w:t>’</w:t>
      </w:r>
      <w:r w:rsidRPr="00437336">
        <w:rPr>
          <w:lang w:val="fr-FR"/>
        </w:rPr>
        <w:t>homme (</w:t>
      </w:r>
      <w:r w:rsidR="004A3B56" w:rsidRPr="00437336">
        <w:rPr>
          <w:lang w:val="fr-FR"/>
        </w:rPr>
        <w:t>première section</w:t>
      </w:r>
      <w:r w:rsidRPr="00437336">
        <w:rPr>
          <w:lang w:val="fr-FR"/>
        </w:rPr>
        <w:t xml:space="preserve">), siégeant en </w:t>
      </w:r>
      <w:r w:rsidR="004A3B56" w:rsidRPr="00437336">
        <w:rPr>
          <w:lang w:val="fr-FR"/>
        </w:rPr>
        <w:t>une chambre composée</w:t>
      </w:r>
      <w:r w:rsidRPr="00437336">
        <w:rPr>
          <w:lang w:val="fr-FR"/>
        </w:rPr>
        <w:t xml:space="preserve"> de :</w:t>
      </w:r>
    </w:p>
    <w:p w:rsidR="00E77CB3" w:rsidRPr="00437336" w:rsidRDefault="004E3EE3" w:rsidP="00437336">
      <w:pPr>
        <w:pStyle w:val="ECHRDecisionBody"/>
        <w:rPr>
          <w:lang w:val="fr-FR"/>
        </w:rPr>
      </w:pPr>
      <w:r w:rsidRPr="00437336">
        <w:rPr>
          <w:lang w:val="fr-FR"/>
        </w:rPr>
        <w:tab/>
        <w:t>Mirjana Lazarova Trajkovska,</w:t>
      </w:r>
      <w:r w:rsidRPr="00437336">
        <w:rPr>
          <w:i/>
          <w:lang w:val="fr-FR"/>
        </w:rPr>
        <w:t xml:space="preserve"> présidente,</w:t>
      </w:r>
      <w:r w:rsidRPr="00437336">
        <w:rPr>
          <w:i/>
          <w:lang w:val="fr-FR"/>
        </w:rPr>
        <w:br/>
      </w:r>
      <w:r w:rsidRPr="00437336">
        <w:rPr>
          <w:lang w:val="fr-FR"/>
        </w:rPr>
        <w:tab/>
        <w:t>Guido Raimondi,</w:t>
      </w:r>
      <w:r w:rsidRPr="00437336">
        <w:rPr>
          <w:i/>
          <w:lang w:val="fr-FR"/>
        </w:rPr>
        <w:br/>
      </w:r>
      <w:r w:rsidRPr="00437336">
        <w:rPr>
          <w:lang w:val="fr-FR"/>
        </w:rPr>
        <w:tab/>
        <w:t>Kristina Pardalos,</w:t>
      </w:r>
      <w:r w:rsidRPr="00437336">
        <w:rPr>
          <w:i/>
          <w:lang w:val="fr-FR"/>
        </w:rPr>
        <w:br/>
      </w:r>
      <w:r w:rsidRPr="00437336">
        <w:rPr>
          <w:lang w:val="fr-FR"/>
        </w:rPr>
        <w:tab/>
        <w:t>Paul Mahoney,</w:t>
      </w:r>
      <w:r w:rsidRPr="00437336">
        <w:rPr>
          <w:i/>
          <w:lang w:val="fr-FR"/>
        </w:rPr>
        <w:br/>
      </w:r>
      <w:r w:rsidRPr="00437336">
        <w:rPr>
          <w:lang w:val="fr-FR"/>
        </w:rPr>
        <w:tab/>
        <w:t>Aleš Pejchal,</w:t>
      </w:r>
      <w:r w:rsidRPr="00437336">
        <w:rPr>
          <w:i/>
          <w:lang w:val="fr-FR"/>
        </w:rPr>
        <w:br/>
      </w:r>
      <w:r w:rsidRPr="00437336">
        <w:rPr>
          <w:lang w:val="fr-FR"/>
        </w:rPr>
        <w:tab/>
        <w:t>Robert Spano,</w:t>
      </w:r>
      <w:r w:rsidRPr="00437336">
        <w:rPr>
          <w:i/>
          <w:lang w:val="fr-FR"/>
        </w:rPr>
        <w:br/>
      </w:r>
      <w:r w:rsidRPr="00437336">
        <w:rPr>
          <w:lang w:val="fr-FR"/>
        </w:rPr>
        <w:tab/>
        <w:t>Pauliine Koskelo,</w:t>
      </w:r>
      <w:r w:rsidRPr="00437336">
        <w:rPr>
          <w:i/>
          <w:lang w:val="fr-FR"/>
        </w:rPr>
        <w:t xml:space="preserve"> juges,</w:t>
      </w:r>
      <w:r w:rsidR="00E77CB3" w:rsidRPr="00437336">
        <w:rPr>
          <w:lang w:val="fr-FR"/>
        </w:rPr>
        <w:br/>
        <w:t xml:space="preserve">et de </w:t>
      </w:r>
      <w:r w:rsidR="004A3B56" w:rsidRPr="00437336">
        <w:rPr>
          <w:lang w:val="fr-FR"/>
        </w:rPr>
        <w:t>Abel Campos</w:t>
      </w:r>
      <w:r w:rsidR="00E77CB3" w:rsidRPr="00437336">
        <w:rPr>
          <w:lang w:val="fr-FR"/>
        </w:rPr>
        <w:t xml:space="preserve">, </w:t>
      </w:r>
      <w:r w:rsidR="004A3B56" w:rsidRPr="00437336">
        <w:rPr>
          <w:i/>
          <w:lang w:val="fr-FR"/>
        </w:rPr>
        <w:t>greffier</w:t>
      </w:r>
      <w:r w:rsidR="004A3B56" w:rsidRPr="00437336">
        <w:rPr>
          <w:iCs/>
          <w:lang w:val="fr-FR"/>
        </w:rPr>
        <w:t xml:space="preserve"> </w:t>
      </w:r>
      <w:r w:rsidR="004A3B56" w:rsidRPr="00437336">
        <w:rPr>
          <w:i/>
          <w:iCs/>
          <w:lang w:val="fr-FR"/>
        </w:rPr>
        <w:t>d</w:t>
      </w:r>
      <w:r w:rsidR="004A3B56" w:rsidRPr="00437336">
        <w:rPr>
          <w:i/>
          <w:lang w:val="fr-FR"/>
        </w:rPr>
        <w:t>e section</w:t>
      </w:r>
      <w:r w:rsidR="00E77CB3" w:rsidRPr="00437336">
        <w:rPr>
          <w:lang w:val="fr-FR"/>
        </w:rPr>
        <w:t>,</w:t>
      </w:r>
    </w:p>
    <w:p w:rsidR="00E77CB3" w:rsidRPr="00437336" w:rsidRDefault="00E77CB3" w:rsidP="00437336">
      <w:pPr>
        <w:pStyle w:val="ECHRPara"/>
        <w:rPr>
          <w:lang w:val="fr-FR"/>
        </w:rPr>
      </w:pPr>
      <w:r w:rsidRPr="00437336">
        <w:rPr>
          <w:lang w:val="fr-FR"/>
        </w:rPr>
        <w:t xml:space="preserve">Après en avoir délibéré en chambre du conseil le </w:t>
      </w:r>
      <w:r w:rsidR="004E3EE3" w:rsidRPr="00437336">
        <w:rPr>
          <w:lang w:val="fr-FR"/>
        </w:rPr>
        <w:t>23 août 2016</w:t>
      </w:r>
      <w:r w:rsidRPr="00437336">
        <w:rPr>
          <w:lang w:val="fr-FR"/>
        </w:rPr>
        <w:t>,</w:t>
      </w:r>
    </w:p>
    <w:p w:rsidR="00E77CB3" w:rsidRPr="00437336" w:rsidRDefault="00E77CB3" w:rsidP="00437336">
      <w:pPr>
        <w:pStyle w:val="ECHRPara"/>
        <w:rPr>
          <w:lang w:val="fr-FR"/>
        </w:rPr>
      </w:pPr>
      <w:r w:rsidRPr="00437336">
        <w:rPr>
          <w:lang w:val="fr-FR"/>
        </w:rPr>
        <w:t>Rend l</w:t>
      </w:r>
      <w:r w:rsidR="00437336" w:rsidRPr="00437336">
        <w:rPr>
          <w:lang w:val="fr-FR"/>
        </w:rPr>
        <w:t>’</w:t>
      </w:r>
      <w:r w:rsidRPr="00437336">
        <w:rPr>
          <w:lang w:val="fr-FR"/>
        </w:rPr>
        <w:t>arrêt que voici, adopté à cette date :</w:t>
      </w:r>
    </w:p>
    <w:p w:rsidR="00E77CB3" w:rsidRPr="00437336" w:rsidRDefault="00E77CB3" w:rsidP="00437336">
      <w:pPr>
        <w:pStyle w:val="ECHRTitle1"/>
        <w:rPr>
          <w:lang w:val="fr-FR"/>
        </w:rPr>
      </w:pPr>
      <w:r w:rsidRPr="00437336">
        <w:rPr>
          <w:lang w:val="fr-FR"/>
        </w:rPr>
        <w:t>PROCÉDURE</w:t>
      </w:r>
    </w:p>
    <w:p w:rsidR="00E77CB3"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1</w:t>
      </w:r>
      <w:r w:rsidRPr="00437336">
        <w:rPr>
          <w:lang w:val="fr-FR"/>
        </w:rPr>
        <w:fldChar w:fldCharType="end"/>
      </w:r>
      <w:r w:rsidR="00E77CB3" w:rsidRPr="00437336">
        <w:rPr>
          <w:lang w:val="fr-FR"/>
        </w:rPr>
        <w:t>.  À l</w:t>
      </w:r>
      <w:r w:rsidR="00437336" w:rsidRPr="00437336">
        <w:rPr>
          <w:lang w:val="fr-FR"/>
        </w:rPr>
        <w:t>’</w:t>
      </w:r>
      <w:r w:rsidR="00E77CB3" w:rsidRPr="00437336">
        <w:rPr>
          <w:lang w:val="fr-FR"/>
        </w:rPr>
        <w:t>origine de l</w:t>
      </w:r>
      <w:r w:rsidR="00437336" w:rsidRPr="00437336">
        <w:rPr>
          <w:lang w:val="fr-FR"/>
        </w:rPr>
        <w:t>’</w:t>
      </w:r>
      <w:r w:rsidR="00E77CB3" w:rsidRPr="00437336">
        <w:rPr>
          <w:lang w:val="fr-FR"/>
        </w:rPr>
        <w:t xml:space="preserve">affaire </w:t>
      </w:r>
      <w:r w:rsidRPr="00437336">
        <w:rPr>
          <w:lang w:val="fr-FR"/>
        </w:rPr>
        <w:t>se trouve une requête (n</w:t>
      </w:r>
      <w:r w:rsidRPr="00437336">
        <w:rPr>
          <w:vertAlign w:val="superscript"/>
          <w:lang w:val="fr-FR"/>
        </w:rPr>
        <w:t>o</w:t>
      </w:r>
      <w:r w:rsidRPr="00437336">
        <w:rPr>
          <w:lang w:val="fr-FR"/>
        </w:rPr>
        <w:t xml:space="preserve"> 43299/12) dirigée</w:t>
      </w:r>
      <w:r w:rsidR="00E77CB3" w:rsidRPr="00437336">
        <w:rPr>
          <w:lang w:val="fr-FR"/>
        </w:rPr>
        <w:t xml:space="preserve"> contre </w:t>
      </w:r>
      <w:r w:rsidRPr="00437336">
        <w:rPr>
          <w:lang w:val="fr-FR"/>
        </w:rPr>
        <w:t>la République italienne</w:t>
      </w:r>
      <w:r w:rsidR="00E77CB3" w:rsidRPr="00437336">
        <w:rPr>
          <w:lang w:val="fr-FR"/>
        </w:rPr>
        <w:t xml:space="preserve"> et dont </w:t>
      </w:r>
      <w:r w:rsidRPr="00437336">
        <w:rPr>
          <w:lang w:val="fr-FR"/>
        </w:rPr>
        <w:t>un res</w:t>
      </w:r>
      <w:r w:rsidR="0093650C" w:rsidRPr="00437336">
        <w:rPr>
          <w:lang w:val="fr-FR"/>
        </w:rPr>
        <w:t>sortissant de cet État, M. Ezio </w:t>
      </w:r>
      <w:r w:rsidRPr="00437336">
        <w:rPr>
          <w:lang w:val="fr-FR"/>
        </w:rPr>
        <w:t>Giorgioni (« le requérant »), a saisi la Cour le 26 juin 2010</w:t>
      </w:r>
      <w:r w:rsidR="00E77CB3" w:rsidRPr="00437336">
        <w:rPr>
          <w:lang w:val="fr-FR"/>
        </w:rPr>
        <w:t xml:space="preserve"> en vertu de </w:t>
      </w:r>
      <w:r w:rsidRPr="00437336">
        <w:rPr>
          <w:lang w:val="fr-FR"/>
        </w:rPr>
        <w:t>l</w:t>
      </w:r>
      <w:r w:rsidR="00437336" w:rsidRPr="00437336">
        <w:rPr>
          <w:lang w:val="fr-FR"/>
        </w:rPr>
        <w:t>’</w:t>
      </w:r>
      <w:r w:rsidRPr="00437336">
        <w:rPr>
          <w:lang w:val="fr-FR"/>
        </w:rPr>
        <w:t>article 34</w:t>
      </w:r>
      <w:r w:rsidR="00E77CB3" w:rsidRPr="00437336">
        <w:rPr>
          <w:lang w:val="fr-FR"/>
        </w:rPr>
        <w:t xml:space="preserve"> de la Convention de sauvegarde des droits de l</w:t>
      </w:r>
      <w:r w:rsidR="00437336" w:rsidRPr="00437336">
        <w:rPr>
          <w:lang w:val="fr-FR"/>
        </w:rPr>
        <w:t>’</w:t>
      </w:r>
      <w:r w:rsidR="00E77CB3" w:rsidRPr="00437336">
        <w:rPr>
          <w:lang w:val="fr-FR"/>
        </w:rPr>
        <w:t>homme et des libertés fondamentales (« la Convention »).</w:t>
      </w:r>
    </w:p>
    <w:p w:rsidR="006B0D2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2</w:t>
      </w:r>
      <w:r w:rsidRPr="00437336">
        <w:rPr>
          <w:lang w:val="fr-FR"/>
        </w:rPr>
        <w:fldChar w:fldCharType="end"/>
      </w:r>
      <w:r w:rsidR="00E77CB3" w:rsidRPr="00437336">
        <w:rPr>
          <w:lang w:val="fr-FR"/>
        </w:rPr>
        <w:t>.  </w:t>
      </w:r>
      <w:r w:rsidRPr="00437336">
        <w:rPr>
          <w:lang w:val="fr-FR"/>
        </w:rPr>
        <w:t>Le requérant a été représenté par M</w:t>
      </w:r>
      <w:r w:rsidRPr="00437336">
        <w:rPr>
          <w:vertAlign w:val="superscript"/>
          <w:lang w:val="fr-FR"/>
        </w:rPr>
        <w:t>e</w:t>
      </w:r>
      <w:r w:rsidRPr="00437336">
        <w:rPr>
          <w:lang w:val="fr-FR"/>
        </w:rPr>
        <w:t xml:space="preserve"> M. Comotti, avocat à Gorle. </w:t>
      </w:r>
      <w:r w:rsidR="006B0D26" w:rsidRPr="00437336">
        <w:rPr>
          <w:lang w:val="fr-FR"/>
        </w:rPr>
        <w:t>Le gouvernement italien (« le Gouvernement ») a été représenté par son agent, M</w:t>
      </w:r>
      <w:r w:rsidR="006B0D26" w:rsidRPr="00437336">
        <w:rPr>
          <w:vertAlign w:val="superscript"/>
          <w:lang w:val="fr-FR"/>
        </w:rPr>
        <w:t>me </w:t>
      </w:r>
      <w:r w:rsidR="006B0D26" w:rsidRPr="00437336">
        <w:rPr>
          <w:lang w:val="fr-FR"/>
        </w:rPr>
        <w:t>E. Spatafora.</w:t>
      </w:r>
    </w:p>
    <w:p w:rsidR="00E77CB3" w:rsidRPr="00437336" w:rsidRDefault="006B0D26" w:rsidP="00437336">
      <w:pPr>
        <w:pStyle w:val="ECHRPara"/>
        <w:rPr>
          <w:szCs w:val="24"/>
          <w:lang w:val="fr-FR" w:eastAsia="en-GB"/>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3</w:t>
      </w:r>
      <w:r w:rsidRPr="00437336">
        <w:rPr>
          <w:lang w:val="fr-FR"/>
        </w:rPr>
        <w:fldChar w:fldCharType="end"/>
      </w:r>
      <w:r w:rsidRPr="00437336">
        <w:rPr>
          <w:lang w:val="fr-FR"/>
        </w:rPr>
        <w:t>.  </w:t>
      </w:r>
      <w:r w:rsidR="004A3B56" w:rsidRPr="00437336">
        <w:rPr>
          <w:lang w:val="fr-FR"/>
        </w:rPr>
        <w:t xml:space="preserve">Le </w:t>
      </w:r>
      <w:r w:rsidR="004A3B56" w:rsidRPr="00437336">
        <w:rPr>
          <w:szCs w:val="24"/>
          <w:lang w:val="fr-FR"/>
        </w:rPr>
        <w:t>17 septembre 2014</w:t>
      </w:r>
      <w:r w:rsidR="00E77CB3" w:rsidRPr="00437336">
        <w:rPr>
          <w:lang w:val="fr-FR"/>
        </w:rPr>
        <w:t xml:space="preserve">, </w:t>
      </w:r>
      <w:r w:rsidR="004A3B56" w:rsidRPr="00437336">
        <w:rPr>
          <w:lang w:val="fr-FR"/>
        </w:rPr>
        <w:t>la requête a été communiquée au Gouvernement</w:t>
      </w:r>
      <w:r w:rsidR="00C1262B" w:rsidRPr="00437336">
        <w:rPr>
          <w:lang w:val="fr-FR"/>
        </w:rPr>
        <w:t>.</w:t>
      </w:r>
    </w:p>
    <w:p w:rsidR="00E77CB3" w:rsidRPr="00437336" w:rsidRDefault="00E77CB3" w:rsidP="00437336">
      <w:pPr>
        <w:pStyle w:val="ECHRTitle1"/>
        <w:tabs>
          <w:tab w:val="left" w:pos="5387"/>
        </w:tabs>
        <w:rPr>
          <w:lang w:val="fr-FR"/>
        </w:rPr>
      </w:pPr>
      <w:r w:rsidRPr="00437336">
        <w:rPr>
          <w:lang w:val="fr-FR"/>
        </w:rPr>
        <w:t>EN FAIT</w:t>
      </w:r>
    </w:p>
    <w:p w:rsidR="00E77CB3" w:rsidRPr="00437336" w:rsidRDefault="0059576C" w:rsidP="00437336">
      <w:pPr>
        <w:pStyle w:val="ECHRHeading1"/>
        <w:rPr>
          <w:lang w:val="fr-FR"/>
        </w:rPr>
      </w:pPr>
      <w:r w:rsidRPr="00437336">
        <w:rPr>
          <w:lang w:val="fr-FR"/>
        </w:rPr>
        <w:t>I.  </w:t>
      </w:r>
      <w:r w:rsidR="00E77CB3" w:rsidRPr="00437336">
        <w:rPr>
          <w:lang w:val="fr-FR"/>
        </w:rPr>
        <w:t>LES CIRCONSTANCES DE L</w:t>
      </w:r>
      <w:r w:rsidR="00437336" w:rsidRPr="00437336">
        <w:rPr>
          <w:lang w:val="fr-FR"/>
        </w:rPr>
        <w:t>’</w:t>
      </w:r>
      <w:r w:rsidR="00E77CB3" w:rsidRPr="00437336">
        <w:rPr>
          <w:lang w:val="fr-FR"/>
        </w:rPr>
        <w:t>ESPÈCE</w:t>
      </w:r>
    </w:p>
    <w:p w:rsidR="004A3B56" w:rsidRPr="00437336" w:rsidRDefault="001E2737"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4</w:t>
      </w:r>
      <w:r w:rsidRPr="00437336">
        <w:rPr>
          <w:lang w:val="fr-FR"/>
        </w:rPr>
        <w:fldChar w:fldCharType="end"/>
      </w:r>
      <w:r w:rsidRPr="00437336">
        <w:rPr>
          <w:lang w:val="fr-FR"/>
        </w:rPr>
        <w:t>.  </w:t>
      </w:r>
      <w:r w:rsidR="004A3B56" w:rsidRPr="00437336">
        <w:rPr>
          <w:lang w:val="fr-FR"/>
        </w:rPr>
        <w:t>Le requérant est né en 1944 et réside à Selvino.</w:t>
      </w:r>
    </w:p>
    <w:p w:rsidR="004A3B5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5</w:t>
      </w:r>
      <w:r w:rsidRPr="00437336">
        <w:rPr>
          <w:lang w:val="fr-FR"/>
        </w:rPr>
        <w:fldChar w:fldCharType="end"/>
      </w:r>
      <w:r w:rsidRPr="00437336">
        <w:rPr>
          <w:lang w:val="fr-FR"/>
        </w:rPr>
        <w:t>.  Le 10 juillet 2001 naquit L., le fils du requérant et de C.M.</w:t>
      </w:r>
    </w:p>
    <w:p w:rsidR="004A3B56" w:rsidRPr="00437336" w:rsidRDefault="004A3B56" w:rsidP="00437336">
      <w:pPr>
        <w:pStyle w:val="ECHRPara"/>
        <w:rPr>
          <w:lang w:val="fr-FR"/>
        </w:rPr>
      </w:pPr>
      <w:r w:rsidRPr="00437336">
        <w:rPr>
          <w:lang w:val="fr-FR"/>
        </w:rPr>
        <w:t>En août 2006, en raison de conflits incessants déchirant le couple, le requérant et C.M. décidèrent de se séparer. Le requérant quitta le domicile familial. Dès son départ, C.M. manifesta une forte opposition à toute relation entre lui et l</w:t>
      </w:r>
      <w:r w:rsidR="00437336" w:rsidRPr="00437336">
        <w:rPr>
          <w:lang w:val="fr-FR"/>
        </w:rPr>
        <w:t>’</w:t>
      </w:r>
      <w:r w:rsidRPr="00437336">
        <w:rPr>
          <w:lang w:val="fr-FR"/>
        </w:rPr>
        <w:t>enfant.</w:t>
      </w:r>
    </w:p>
    <w:p w:rsidR="004A3B56" w:rsidRPr="00437336" w:rsidRDefault="00661BD0" w:rsidP="00437336">
      <w:pPr>
        <w:pStyle w:val="ECHRHeading2"/>
        <w:rPr>
          <w:lang w:val="fr-FR"/>
        </w:rPr>
      </w:pPr>
      <w:r w:rsidRPr="00437336">
        <w:rPr>
          <w:lang w:val="fr-FR"/>
        </w:rPr>
        <w:lastRenderedPageBreak/>
        <w:t>A</w:t>
      </w:r>
      <w:r w:rsidR="004A3B56" w:rsidRPr="00437336">
        <w:rPr>
          <w:lang w:val="fr-FR"/>
        </w:rPr>
        <w:t>.  Procédure tendant à l</w:t>
      </w:r>
      <w:r w:rsidR="00437336" w:rsidRPr="00437336">
        <w:rPr>
          <w:lang w:val="fr-FR"/>
        </w:rPr>
        <w:t>’</w:t>
      </w:r>
      <w:r w:rsidR="004A3B56" w:rsidRPr="00437336">
        <w:rPr>
          <w:lang w:val="fr-FR"/>
        </w:rPr>
        <w:t>établissement des modalités d</w:t>
      </w:r>
      <w:r w:rsidR="00437336" w:rsidRPr="00437336">
        <w:rPr>
          <w:lang w:val="fr-FR"/>
        </w:rPr>
        <w:t>’</w:t>
      </w:r>
      <w:r w:rsidR="004A3B56" w:rsidRPr="00437336">
        <w:rPr>
          <w:lang w:val="fr-FR"/>
        </w:rPr>
        <w:t>exercice du droit de visite du requérant à l</w:t>
      </w:r>
      <w:r w:rsidR="00437336" w:rsidRPr="00437336">
        <w:rPr>
          <w:lang w:val="fr-FR"/>
        </w:rPr>
        <w:t>’</w:t>
      </w:r>
      <w:r w:rsidR="004A3B56" w:rsidRPr="00437336">
        <w:rPr>
          <w:lang w:val="fr-FR"/>
        </w:rPr>
        <w:t>égard de son fils</w:t>
      </w:r>
    </w:p>
    <w:p w:rsidR="004A3B5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6</w:t>
      </w:r>
      <w:r w:rsidRPr="00437336">
        <w:rPr>
          <w:lang w:val="fr-FR"/>
        </w:rPr>
        <w:fldChar w:fldCharType="end"/>
      </w:r>
      <w:r w:rsidRPr="00437336">
        <w:rPr>
          <w:lang w:val="fr-FR"/>
        </w:rPr>
        <w:t xml:space="preserve">.  Le </w:t>
      </w:r>
      <w:r w:rsidR="001E2737" w:rsidRPr="00437336">
        <w:rPr>
          <w:lang w:val="fr-FR"/>
        </w:rPr>
        <w:t>22 janvier 2007</w:t>
      </w:r>
      <w:r w:rsidRPr="00437336">
        <w:rPr>
          <w:lang w:val="fr-FR"/>
        </w:rPr>
        <w:t>, en raison de difficultés rencontrées dans l</w:t>
      </w:r>
      <w:r w:rsidR="00437336" w:rsidRPr="00437336">
        <w:rPr>
          <w:lang w:val="fr-FR"/>
        </w:rPr>
        <w:t>’</w:t>
      </w:r>
      <w:r w:rsidRPr="00437336">
        <w:rPr>
          <w:lang w:val="fr-FR"/>
        </w:rPr>
        <w:t>exercice de son droit de visite, le requérant saisit le tribunal pour enfants de Brescia (« le tribunal »). Il se plaignait que C.M. ne lui permettait pas de voir leur fils, et il indiquait que celui-ci était toujours allaité et qu</w:t>
      </w:r>
      <w:r w:rsidR="00437336" w:rsidRPr="00437336">
        <w:rPr>
          <w:lang w:val="fr-FR"/>
        </w:rPr>
        <w:t>’</w:t>
      </w:r>
      <w:r w:rsidRPr="00437336">
        <w:rPr>
          <w:lang w:val="fr-FR"/>
        </w:rPr>
        <w:t>il dormait encore avec sa mère. Il sollicitait la garde exclusive de l</w:t>
      </w:r>
      <w:r w:rsidR="00437336" w:rsidRPr="00437336">
        <w:rPr>
          <w:lang w:val="fr-FR"/>
        </w:rPr>
        <w:t>’</w:t>
      </w:r>
      <w:r w:rsidRPr="00437336">
        <w:rPr>
          <w:lang w:val="fr-FR"/>
        </w:rPr>
        <w:t>enfant, et il demandait au tribunal d</w:t>
      </w:r>
      <w:r w:rsidR="00437336" w:rsidRPr="00437336">
        <w:rPr>
          <w:lang w:val="fr-FR"/>
        </w:rPr>
        <w:t>’</w:t>
      </w:r>
      <w:r w:rsidRPr="00437336">
        <w:rPr>
          <w:lang w:val="fr-FR"/>
        </w:rPr>
        <w:t>ordonner une expertise aux fins d</w:t>
      </w:r>
      <w:r w:rsidR="00437336" w:rsidRPr="00437336">
        <w:rPr>
          <w:lang w:val="fr-FR"/>
        </w:rPr>
        <w:t>’</w:t>
      </w:r>
      <w:r w:rsidRPr="00437336">
        <w:rPr>
          <w:lang w:val="fr-FR"/>
        </w:rPr>
        <w:t>évaluation des capacités de C.M. à exercer son rôle parental.</w:t>
      </w:r>
    </w:p>
    <w:p w:rsidR="004A3B5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7</w:t>
      </w:r>
      <w:r w:rsidRPr="00437336">
        <w:rPr>
          <w:lang w:val="fr-FR"/>
        </w:rPr>
        <w:fldChar w:fldCharType="end"/>
      </w:r>
      <w:r w:rsidRPr="00437336">
        <w:rPr>
          <w:lang w:val="fr-FR"/>
        </w:rPr>
        <w:t>.  C.M. contesta la thèse du requérant. À l</w:t>
      </w:r>
      <w:r w:rsidR="00437336" w:rsidRPr="00437336">
        <w:rPr>
          <w:lang w:val="fr-FR"/>
        </w:rPr>
        <w:t>’</w:t>
      </w:r>
      <w:r w:rsidRPr="00437336">
        <w:rPr>
          <w:lang w:val="fr-FR"/>
        </w:rPr>
        <w:t>appui de ses dires, elle affirmait que celui-ci souffrait d</w:t>
      </w:r>
      <w:r w:rsidR="00437336" w:rsidRPr="00437336">
        <w:rPr>
          <w:lang w:val="fr-FR"/>
        </w:rPr>
        <w:t>’</w:t>
      </w:r>
      <w:r w:rsidRPr="00437336">
        <w:rPr>
          <w:lang w:val="fr-FR"/>
        </w:rPr>
        <w:t>un trouble délirant de type paranoïaque et qu</w:t>
      </w:r>
      <w:r w:rsidR="00437336" w:rsidRPr="00437336">
        <w:rPr>
          <w:lang w:val="fr-FR"/>
        </w:rPr>
        <w:t>’</w:t>
      </w:r>
      <w:r w:rsidRPr="00437336">
        <w:rPr>
          <w:lang w:val="fr-FR"/>
        </w:rPr>
        <w:t>il ne s</w:t>
      </w:r>
      <w:r w:rsidR="00437336" w:rsidRPr="00437336">
        <w:rPr>
          <w:lang w:val="fr-FR"/>
        </w:rPr>
        <w:t>’</w:t>
      </w:r>
      <w:r w:rsidRPr="00437336">
        <w:rPr>
          <w:lang w:val="fr-FR"/>
        </w:rPr>
        <w:t>était jamais occupé de leur fils. Elle demandait la déchéance de l</w:t>
      </w:r>
      <w:r w:rsidR="00437336" w:rsidRPr="00437336">
        <w:rPr>
          <w:lang w:val="fr-FR"/>
        </w:rPr>
        <w:t>’</w:t>
      </w:r>
      <w:r w:rsidRPr="00437336">
        <w:rPr>
          <w:lang w:val="fr-FR"/>
        </w:rPr>
        <w:t>autorité parentale de son ex-compagnon et la tenue des rencontres père-fils en milieu protégé.</w:t>
      </w:r>
    </w:p>
    <w:p w:rsidR="004A3B5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8</w:t>
      </w:r>
      <w:r w:rsidRPr="00437336">
        <w:rPr>
          <w:lang w:val="fr-FR"/>
        </w:rPr>
        <w:fldChar w:fldCharType="end"/>
      </w:r>
      <w:r w:rsidRPr="00437336">
        <w:rPr>
          <w:lang w:val="fr-FR"/>
        </w:rPr>
        <w:t>.  Par une décision du 8 mai 2007, le tribunal ordonna une expertise psychologique des parents et de l</w:t>
      </w:r>
      <w:r w:rsidR="00437336" w:rsidRPr="00437336">
        <w:rPr>
          <w:lang w:val="fr-FR"/>
        </w:rPr>
        <w:t>’</w:t>
      </w:r>
      <w:r w:rsidRPr="00437336">
        <w:rPr>
          <w:lang w:val="fr-FR"/>
        </w:rPr>
        <w:t>enfant.</w:t>
      </w:r>
    </w:p>
    <w:p w:rsidR="004A3B5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9</w:t>
      </w:r>
      <w:r w:rsidRPr="00437336">
        <w:rPr>
          <w:lang w:val="fr-FR"/>
        </w:rPr>
        <w:fldChar w:fldCharType="end"/>
      </w:r>
      <w:r w:rsidRPr="00437336">
        <w:rPr>
          <w:lang w:val="fr-FR"/>
        </w:rPr>
        <w:t>.   Le 2 octobre 2007, le tribunal rejeta la demande de C.M. visant à un remplacement de l</w:t>
      </w:r>
      <w:r w:rsidR="00437336" w:rsidRPr="00437336">
        <w:rPr>
          <w:lang w:val="fr-FR"/>
        </w:rPr>
        <w:t>’</w:t>
      </w:r>
      <w:r w:rsidRPr="00437336">
        <w:rPr>
          <w:lang w:val="fr-FR"/>
        </w:rPr>
        <w:t>expert nommé par lui.</w:t>
      </w:r>
    </w:p>
    <w:p w:rsidR="004A3B5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10</w:t>
      </w:r>
      <w:r w:rsidRPr="00437336">
        <w:rPr>
          <w:lang w:val="fr-FR"/>
        </w:rPr>
        <w:fldChar w:fldCharType="end"/>
      </w:r>
      <w:r w:rsidRPr="00437336">
        <w:rPr>
          <w:lang w:val="fr-FR"/>
        </w:rPr>
        <w:t>.  Le 2 janvier 2008, le rapport d</w:t>
      </w:r>
      <w:r w:rsidR="00437336" w:rsidRPr="00437336">
        <w:rPr>
          <w:lang w:val="fr-FR"/>
        </w:rPr>
        <w:t>’</w:t>
      </w:r>
      <w:r w:rsidRPr="00437336">
        <w:rPr>
          <w:lang w:val="fr-FR"/>
        </w:rPr>
        <w:t>expertise fut déposé au greffe. Selon l</w:t>
      </w:r>
      <w:r w:rsidR="00437336" w:rsidRPr="00437336">
        <w:rPr>
          <w:lang w:val="fr-FR"/>
        </w:rPr>
        <w:t>’</w:t>
      </w:r>
      <w:r w:rsidRPr="00437336">
        <w:rPr>
          <w:lang w:val="fr-FR"/>
        </w:rPr>
        <w:t>expert, la garde de l</w:t>
      </w:r>
      <w:r w:rsidR="00437336" w:rsidRPr="00437336">
        <w:rPr>
          <w:lang w:val="fr-FR"/>
        </w:rPr>
        <w:t>’</w:t>
      </w:r>
      <w:r w:rsidRPr="00437336">
        <w:rPr>
          <w:lang w:val="fr-FR"/>
        </w:rPr>
        <w:t>enfant devait être confiée aux deux parents, lesquels devaient suivre une procédure de médiation familiale. Toujours selon l</w:t>
      </w:r>
      <w:r w:rsidR="00437336" w:rsidRPr="00437336">
        <w:rPr>
          <w:lang w:val="fr-FR"/>
        </w:rPr>
        <w:t>’</w:t>
      </w:r>
      <w:r w:rsidRPr="00437336">
        <w:rPr>
          <w:lang w:val="fr-FR"/>
        </w:rPr>
        <w:t>expert, il était par ailleurs souhaitable que l</w:t>
      </w:r>
      <w:r w:rsidR="00437336" w:rsidRPr="00437336">
        <w:rPr>
          <w:lang w:val="fr-FR"/>
        </w:rPr>
        <w:t>’</w:t>
      </w:r>
      <w:r w:rsidRPr="00437336">
        <w:rPr>
          <w:lang w:val="fr-FR"/>
        </w:rPr>
        <w:t>enfant rencontrât son père sans la présence de sa mère.</w:t>
      </w:r>
    </w:p>
    <w:p w:rsidR="004A3B5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11</w:t>
      </w:r>
      <w:r w:rsidRPr="00437336">
        <w:rPr>
          <w:lang w:val="fr-FR"/>
        </w:rPr>
        <w:fldChar w:fldCharType="end"/>
      </w:r>
      <w:r w:rsidRPr="00437336">
        <w:rPr>
          <w:lang w:val="fr-FR"/>
        </w:rPr>
        <w:t>.  Par une décision du 22 juin 2008, le tribunal confia la garde de l</w:t>
      </w:r>
      <w:r w:rsidR="00437336" w:rsidRPr="00437336">
        <w:rPr>
          <w:lang w:val="fr-FR"/>
        </w:rPr>
        <w:t>’</w:t>
      </w:r>
      <w:r w:rsidRPr="00437336">
        <w:rPr>
          <w:lang w:val="fr-FR"/>
        </w:rPr>
        <w:t>enfant aux deux parents, fixa sa résidence chez sa mère et octroya au requérant un droit de visite à raison de deux jours par semaine. Il ordonna aux parents de respecter ses prescriptions, et il les invita à se montrer coopérants.</w:t>
      </w:r>
    </w:p>
    <w:p w:rsidR="004A3B5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12</w:t>
      </w:r>
      <w:r w:rsidRPr="00437336">
        <w:rPr>
          <w:lang w:val="fr-FR"/>
        </w:rPr>
        <w:fldChar w:fldCharType="end"/>
      </w:r>
      <w:r w:rsidRPr="00437336">
        <w:rPr>
          <w:lang w:val="fr-FR"/>
        </w:rPr>
        <w:t>.  En outre, le tribunal condamna le requérant à payer une pension alimentaire de 750 euros (EUR) par mois.</w:t>
      </w:r>
    </w:p>
    <w:p w:rsidR="004A3B56" w:rsidRPr="00437336" w:rsidRDefault="004A3B56" w:rsidP="00437336">
      <w:pPr>
        <w:pStyle w:val="ECHRPara"/>
        <w:rPr>
          <w:lang w:val="fr-FR"/>
        </w:rPr>
      </w:pPr>
      <w:r w:rsidRPr="00437336">
        <w:rPr>
          <w:lang w:val="fr-FR"/>
        </w:rPr>
        <w:t>Les deux parties interjetèrent appel de cette décision, le requérant pour se plaindre du montant de la pension alimentaire et C.M. pour contester le droit de visite qui avait été accordé à son ex-compagnon.</w:t>
      </w:r>
    </w:p>
    <w:p w:rsidR="004A3B5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13</w:t>
      </w:r>
      <w:r w:rsidRPr="00437336">
        <w:rPr>
          <w:lang w:val="fr-FR"/>
        </w:rPr>
        <w:fldChar w:fldCharType="end"/>
      </w:r>
      <w:r w:rsidRPr="00437336">
        <w:rPr>
          <w:lang w:val="fr-FR"/>
        </w:rPr>
        <w:t>.  Le 15 décembre 2008, la cour d</w:t>
      </w:r>
      <w:r w:rsidR="00437336" w:rsidRPr="00437336">
        <w:rPr>
          <w:lang w:val="fr-FR"/>
        </w:rPr>
        <w:t>’</w:t>
      </w:r>
      <w:r w:rsidRPr="00437336">
        <w:rPr>
          <w:lang w:val="fr-FR"/>
        </w:rPr>
        <w:t>appel de Brescia confirma la décision du tribunal.</w:t>
      </w:r>
    </w:p>
    <w:p w:rsidR="004A3B5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14</w:t>
      </w:r>
      <w:r w:rsidRPr="00437336">
        <w:rPr>
          <w:lang w:val="fr-FR"/>
        </w:rPr>
        <w:fldChar w:fldCharType="end"/>
      </w:r>
      <w:r w:rsidRPr="00437336">
        <w:rPr>
          <w:lang w:val="fr-FR"/>
        </w:rPr>
        <w:t>.  Le requérant saisit à nouveau le tribunal, se plaignant que C.M. ne lui permettait pas de voir leur fils hors sa présence.</w:t>
      </w:r>
    </w:p>
    <w:p w:rsidR="004A3B5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15</w:t>
      </w:r>
      <w:r w:rsidRPr="00437336">
        <w:rPr>
          <w:lang w:val="fr-FR"/>
        </w:rPr>
        <w:fldChar w:fldCharType="end"/>
      </w:r>
      <w:r w:rsidRPr="00437336">
        <w:rPr>
          <w:lang w:val="fr-FR"/>
        </w:rPr>
        <w:t>.  Par une décision du 28 avril 2009, le tribunal ordonna au requérant de payer la pension alimentaire qu</w:t>
      </w:r>
      <w:r w:rsidR="00437336" w:rsidRPr="00437336">
        <w:rPr>
          <w:lang w:val="fr-FR"/>
        </w:rPr>
        <w:t>’</w:t>
      </w:r>
      <w:r w:rsidRPr="00437336">
        <w:rPr>
          <w:lang w:val="fr-FR"/>
        </w:rPr>
        <w:t>il était tenu de verser. Par ailleurs, il chargea les services sociaux d</w:t>
      </w:r>
      <w:r w:rsidR="00437336" w:rsidRPr="00437336">
        <w:rPr>
          <w:lang w:val="fr-FR"/>
        </w:rPr>
        <w:t>’</w:t>
      </w:r>
      <w:r w:rsidRPr="00437336">
        <w:rPr>
          <w:lang w:val="fr-FR"/>
        </w:rPr>
        <w:t>organiser des rencontres en milieu protégé entre l</w:t>
      </w:r>
      <w:r w:rsidR="00437336" w:rsidRPr="00437336">
        <w:rPr>
          <w:lang w:val="fr-FR"/>
        </w:rPr>
        <w:t>’</w:t>
      </w:r>
      <w:r w:rsidRPr="00437336">
        <w:rPr>
          <w:lang w:val="fr-FR"/>
        </w:rPr>
        <w:t>enfant et le requérant, lesquelles devaient s</w:t>
      </w:r>
      <w:r w:rsidR="00437336" w:rsidRPr="00437336">
        <w:rPr>
          <w:lang w:val="fr-FR"/>
        </w:rPr>
        <w:t>’</w:t>
      </w:r>
      <w:r w:rsidRPr="00437336">
        <w:rPr>
          <w:lang w:val="fr-FR"/>
        </w:rPr>
        <w:t>ajouter à celles déjà fixées dans sa décision du 22 juin 2008.</w:t>
      </w:r>
    </w:p>
    <w:p w:rsidR="004A3B56" w:rsidRPr="00437336" w:rsidRDefault="004A3B56" w:rsidP="00437336">
      <w:pPr>
        <w:pStyle w:val="ECHRPara"/>
        <w:rPr>
          <w:lang w:val="fr-FR"/>
        </w:rPr>
      </w:pPr>
      <w:r w:rsidRPr="00437336">
        <w:rPr>
          <w:lang w:val="fr-FR"/>
        </w:rPr>
        <w:lastRenderedPageBreak/>
        <w:fldChar w:fldCharType="begin"/>
      </w:r>
      <w:r w:rsidRPr="00437336">
        <w:rPr>
          <w:lang w:val="fr-FR"/>
        </w:rPr>
        <w:instrText xml:space="preserve"> SEQ level0 \*arabic </w:instrText>
      </w:r>
      <w:r w:rsidRPr="00437336">
        <w:rPr>
          <w:lang w:val="fr-FR"/>
        </w:rPr>
        <w:fldChar w:fldCharType="separate"/>
      </w:r>
      <w:r w:rsidR="00C21CB2">
        <w:rPr>
          <w:noProof/>
          <w:lang w:val="fr-FR"/>
        </w:rPr>
        <w:t>16</w:t>
      </w:r>
      <w:r w:rsidRPr="00437336">
        <w:rPr>
          <w:lang w:val="fr-FR"/>
        </w:rPr>
        <w:fldChar w:fldCharType="end"/>
      </w:r>
      <w:r w:rsidRPr="00437336">
        <w:rPr>
          <w:lang w:val="fr-FR"/>
        </w:rPr>
        <w:t>.  Le 23 mars 2010, saisi par le requérant, le tribunal ordonna que l</w:t>
      </w:r>
      <w:r w:rsidR="00437336" w:rsidRPr="00437336">
        <w:rPr>
          <w:lang w:val="fr-FR"/>
        </w:rPr>
        <w:t>’</w:t>
      </w:r>
      <w:r w:rsidRPr="00437336">
        <w:rPr>
          <w:lang w:val="fr-FR"/>
        </w:rPr>
        <w:t>enfant passât le week-end de Pâques chez celui-ci, sans la présence de C.M. Il précisait que, en cas de non-exécution de sa décision, il confierait la garde exclusive de l</w:t>
      </w:r>
      <w:r w:rsidR="00437336" w:rsidRPr="00437336">
        <w:rPr>
          <w:lang w:val="fr-FR"/>
        </w:rPr>
        <w:t>’</w:t>
      </w:r>
      <w:r w:rsidRPr="00437336">
        <w:rPr>
          <w:lang w:val="fr-FR"/>
        </w:rPr>
        <w:t>enfant au requérant.</w:t>
      </w:r>
    </w:p>
    <w:p w:rsidR="004A3B56" w:rsidRPr="00437336" w:rsidRDefault="004A3B56" w:rsidP="00437336">
      <w:pPr>
        <w:pStyle w:val="ECHRPara"/>
        <w:rPr>
          <w:lang w:val="fr-FR"/>
        </w:rPr>
      </w:pPr>
      <w:r w:rsidRPr="00437336">
        <w:rPr>
          <w:lang w:val="fr-FR"/>
        </w:rPr>
        <w:t>C.M. demanda la révocation de cette décision. Cette demande fut rejetée.</w:t>
      </w:r>
    </w:p>
    <w:p w:rsidR="004A3B5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17</w:t>
      </w:r>
      <w:r w:rsidRPr="00437336">
        <w:rPr>
          <w:lang w:val="fr-FR"/>
        </w:rPr>
        <w:fldChar w:fldCharType="end"/>
      </w:r>
      <w:r w:rsidRPr="00437336">
        <w:rPr>
          <w:lang w:val="fr-FR"/>
        </w:rPr>
        <w:t>.  </w:t>
      </w:r>
      <w:r w:rsidRPr="00437336" w:rsidDel="001A753A">
        <w:rPr>
          <w:lang w:val="fr-FR"/>
        </w:rPr>
        <w:t>À</w:t>
      </w:r>
      <w:r w:rsidRPr="00437336">
        <w:rPr>
          <w:lang w:val="fr-FR"/>
        </w:rPr>
        <w:t xml:space="preserve"> une date non spécifiée, se plaignant de difficultés persistantes dans l</w:t>
      </w:r>
      <w:r w:rsidR="00437336" w:rsidRPr="00437336">
        <w:rPr>
          <w:lang w:val="fr-FR"/>
        </w:rPr>
        <w:t>’</w:t>
      </w:r>
      <w:r w:rsidRPr="00437336">
        <w:rPr>
          <w:lang w:val="fr-FR"/>
        </w:rPr>
        <w:t>exercice de son droit de visite,</w:t>
      </w:r>
      <w:r w:rsidRPr="00437336" w:rsidDel="00485951">
        <w:rPr>
          <w:lang w:val="fr-FR"/>
        </w:rPr>
        <w:t xml:space="preserve"> </w:t>
      </w:r>
      <w:r w:rsidRPr="00437336">
        <w:rPr>
          <w:lang w:val="fr-FR"/>
        </w:rPr>
        <w:t>le requérant saisit à nouveau le tribunal. Plus précisément, il se plaignait que C.M. ne le laissait jamais seul avec l</w:t>
      </w:r>
      <w:r w:rsidR="00437336" w:rsidRPr="00437336">
        <w:rPr>
          <w:lang w:val="fr-FR"/>
        </w:rPr>
        <w:t>’</w:t>
      </w:r>
      <w:r w:rsidRPr="00437336">
        <w:rPr>
          <w:lang w:val="fr-FR"/>
        </w:rPr>
        <w:t>enfant.</w:t>
      </w:r>
    </w:p>
    <w:p w:rsidR="004A3B5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18</w:t>
      </w:r>
      <w:r w:rsidRPr="00437336">
        <w:rPr>
          <w:lang w:val="fr-FR"/>
        </w:rPr>
        <w:fldChar w:fldCharType="end"/>
      </w:r>
      <w:r w:rsidRPr="00437336">
        <w:rPr>
          <w:lang w:val="fr-FR"/>
        </w:rPr>
        <w:t>.   Le 8 avril 2010, le tribunal entendit l</w:t>
      </w:r>
      <w:r w:rsidR="00437336" w:rsidRPr="00437336">
        <w:rPr>
          <w:lang w:val="fr-FR"/>
        </w:rPr>
        <w:t>’</w:t>
      </w:r>
      <w:r w:rsidRPr="00437336">
        <w:rPr>
          <w:lang w:val="fr-FR"/>
        </w:rPr>
        <w:t>enfant. Celui-ci affirma qu</w:t>
      </w:r>
      <w:r w:rsidR="00437336" w:rsidRPr="00437336">
        <w:rPr>
          <w:lang w:val="fr-FR"/>
        </w:rPr>
        <w:t>’</w:t>
      </w:r>
      <w:r w:rsidRPr="00437336">
        <w:rPr>
          <w:lang w:val="fr-FR"/>
        </w:rPr>
        <w:t>il avait été heureux de passer le week-end de Pâques avec son père et d</w:t>
      </w:r>
      <w:r w:rsidR="00437336" w:rsidRPr="00437336">
        <w:rPr>
          <w:lang w:val="fr-FR"/>
        </w:rPr>
        <w:t>’</w:t>
      </w:r>
      <w:r w:rsidRPr="00437336">
        <w:rPr>
          <w:lang w:val="fr-FR"/>
        </w:rPr>
        <w:t>avoir pu dormir chez lui. Il demanda au juge de pouvoir passer un week-end sur deux avec son père.</w:t>
      </w:r>
    </w:p>
    <w:p w:rsidR="004A3B5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19</w:t>
      </w:r>
      <w:r w:rsidRPr="00437336">
        <w:rPr>
          <w:lang w:val="fr-FR"/>
        </w:rPr>
        <w:fldChar w:fldCharType="end"/>
      </w:r>
      <w:r w:rsidRPr="00437336">
        <w:rPr>
          <w:lang w:val="fr-FR"/>
        </w:rPr>
        <w:t>.  Par une décision du 27 avril 2010, le tribunal prit acte de l</w:t>
      </w:r>
      <w:r w:rsidR="00437336" w:rsidRPr="00437336">
        <w:rPr>
          <w:lang w:val="fr-FR"/>
        </w:rPr>
        <w:t>’</w:t>
      </w:r>
      <w:r w:rsidRPr="00437336">
        <w:rPr>
          <w:lang w:val="fr-FR"/>
        </w:rPr>
        <w:t>absence de collaboration de la mère avec les services sociaux et du non-respect par elle de ses prescriptions, soulignant que ce comportement ne permettait pas au requérant d</w:t>
      </w:r>
      <w:r w:rsidR="00437336" w:rsidRPr="00437336">
        <w:rPr>
          <w:lang w:val="fr-FR"/>
        </w:rPr>
        <w:t>’</w:t>
      </w:r>
      <w:r w:rsidRPr="00437336">
        <w:rPr>
          <w:lang w:val="fr-FR"/>
        </w:rPr>
        <w:t>exercer son droit de visite. Il releva également que l</w:t>
      </w:r>
      <w:r w:rsidR="00437336" w:rsidRPr="00437336">
        <w:rPr>
          <w:lang w:val="fr-FR"/>
        </w:rPr>
        <w:t>’</w:t>
      </w:r>
      <w:r w:rsidRPr="00437336">
        <w:rPr>
          <w:lang w:val="fr-FR"/>
        </w:rPr>
        <w:t>enfant avait manifesté son souhait de passer plusieurs week-ends avec son père et ses regrets de ne pas avoir pu passer plus de temps avec lui. Il notait à cet égard que cela était perçu par l</w:t>
      </w:r>
      <w:r w:rsidR="00437336" w:rsidRPr="00437336">
        <w:rPr>
          <w:lang w:val="fr-FR"/>
        </w:rPr>
        <w:t>’</w:t>
      </w:r>
      <w:r w:rsidRPr="00437336">
        <w:rPr>
          <w:lang w:val="fr-FR"/>
        </w:rPr>
        <w:t>enfant comme un manque d</w:t>
      </w:r>
      <w:r w:rsidR="00437336" w:rsidRPr="00437336">
        <w:rPr>
          <w:lang w:val="fr-FR"/>
        </w:rPr>
        <w:t>’</w:t>
      </w:r>
      <w:r w:rsidRPr="00437336">
        <w:rPr>
          <w:lang w:val="fr-FR"/>
        </w:rPr>
        <w:t>intérêt du requérant pour lui. Le tribunal souligna également que C.M. avait sciemment œuvré à empêcher toute relation entre le requérant et l</w:t>
      </w:r>
      <w:r w:rsidR="00437336" w:rsidRPr="00437336">
        <w:rPr>
          <w:lang w:val="fr-FR"/>
        </w:rPr>
        <w:t>’</w:t>
      </w:r>
      <w:r w:rsidRPr="00437336">
        <w:rPr>
          <w:lang w:val="fr-FR"/>
        </w:rPr>
        <w:t>enfant. Par conséquent, il octroya au requérant un droit de visite et d</w:t>
      </w:r>
      <w:r w:rsidR="00437336" w:rsidRPr="00437336">
        <w:rPr>
          <w:lang w:val="fr-FR"/>
        </w:rPr>
        <w:t>’</w:t>
      </w:r>
      <w:r w:rsidRPr="00437336">
        <w:rPr>
          <w:lang w:val="fr-FR"/>
        </w:rPr>
        <w:t>hébergement d</w:t>
      </w:r>
      <w:r w:rsidR="00437336" w:rsidRPr="00437336">
        <w:rPr>
          <w:lang w:val="fr-FR"/>
        </w:rPr>
        <w:t>’</w:t>
      </w:r>
      <w:r w:rsidRPr="00437336">
        <w:rPr>
          <w:lang w:val="fr-FR"/>
        </w:rPr>
        <w:t>un week-end sur deux et de deux après-midi par semaine. Il chargea les services sociaux de veiller au respect de ses prescriptions.</w:t>
      </w:r>
    </w:p>
    <w:p w:rsidR="004A3B5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20</w:t>
      </w:r>
      <w:r w:rsidRPr="00437336">
        <w:rPr>
          <w:lang w:val="fr-FR"/>
        </w:rPr>
        <w:fldChar w:fldCharType="end"/>
      </w:r>
      <w:r w:rsidRPr="00437336">
        <w:rPr>
          <w:lang w:val="fr-FR"/>
        </w:rPr>
        <w:t>.  La mère continua à s</w:t>
      </w:r>
      <w:r w:rsidR="00437336" w:rsidRPr="00437336">
        <w:rPr>
          <w:lang w:val="fr-FR"/>
        </w:rPr>
        <w:t>’</w:t>
      </w:r>
      <w:r w:rsidRPr="00437336">
        <w:rPr>
          <w:lang w:val="fr-FR"/>
        </w:rPr>
        <w:t>opposer à toute rencontre en son absence entre l</w:t>
      </w:r>
      <w:r w:rsidR="00437336" w:rsidRPr="00437336">
        <w:rPr>
          <w:lang w:val="fr-FR"/>
        </w:rPr>
        <w:t>’</w:t>
      </w:r>
      <w:r w:rsidRPr="00437336">
        <w:rPr>
          <w:lang w:val="fr-FR"/>
        </w:rPr>
        <w:t>enfant et le requérant. Ce dernier ne fut pas en mesure d</w:t>
      </w:r>
      <w:r w:rsidR="00437336" w:rsidRPr="00437336">
        <w:rPr>
          <w:lang w:val="fr-FR"/>
        </w:rPr>
        <w:t>’</w:t>
      </w:r>
      <w:r w:rsidRPr="00437336">
        <w:rPr>
          <w:lang w:val="fr-FR"/>
        </w:rPr>
        <w:t>exercer son droit de visite tel qu</w:t>
      </w:r>
      <w:r w:rsidR="00437336" w:rsidRPr="00437336">
        <w:rPr>
          <w:lang w:val="fr-FR"/>
        </w:rPr>
        <w:t>’</w:t>
      </w:r>
      <w:r w:rsidRPr="00437336">
        <w:rPr>
          <w:lang w:val="fr-FR"/>
        </w:rPr>
        <w:t>établi par le tribunal.</w:t>
      </w:r>
    </w:p>
    <w:p w:rsidR="004A3B5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21</w:t>
      </w:r>
      <w:r w:rsidRPr="00437336">
        <w:rPr>
          <w:lang w:val="fr-FR"/>
        </w:rPr>
        <w:fldChar w:fldCharType="end"/>
      </w:r>
      <w:r w:rsidRPr="00437336">
        <w:rPr>
          <w:lang w:val="fr-FR"/>
        </w:rPr>
        <w:t>.   Il ressort des rapports déposés par les services sociaux que le requérant a pu rencontrer son fils entre mai et juillet 2010 mais que celui-ci n</w:t>
      </w:r>
      <w:r w:rsidR="00437336" w:rsidRPr="00437336">
        <w:rPr>
          <w:lang w:val="fr-FR"/>
        </w:rPr>
        <w:t>’</w:t>
      </w:r>
      <w:r w:rsidRPr="00437336">
        <w:rPr>
          <w:lang w:val="fr-FR"/>
        </w:rPr>
        <w:t>a pas passé les vacances du mois d</w:t>
      </w:r>
      <w:r w:rsidR="00437336" w:rsidRPr="00437336">
        <w:rPr>
          <w:lang w:val="fr-FR"/>
        </w:rPr>
        <w:t>’</w:t>
      </w:r>
      <w:r w:rsidRPr="00437336">
        <w:rPr>
          <w:lang w:val="fr-FR"/>
        </w:rPr>
        <w:t>août 2010 avec son père en raison d</w:t>
      </w:r>
      <w:r w:rsidR="00437336" w:rsidRPr="00437336">
        <w:rPr>
          <w:lang w:val="fr-FR"/>
        </w:rPr>
        <w:t>’</w:t>
      </w:r>
      <w:r w:rsidRPr="00437336">
        <w:rPr>
          <w:lang w:val="fr-FR"/>
        </w:rPr>
        <w:t>une indisponibilité de ce dernier.</w:t>
      </w:r>
    </w:p>
    <w:p w:rsidR="004A3B5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22</w:t>
      </w:r>
      <w:r w:rsidRPr="00437336">
        <w:rPr>
          <w:lang w:val="fr-FR"/>
        </w:rPr>
        <w:fldChar w:fldCharType="end"/>
      </w:r>
      <w:r w:rsidRPr="00437336">
        <w:rPr>
          <w:lang w:val="fr-FR"/>
        </w:rPr>
        <w:t>.  Le 19 novembre 2010, le requérant indiqua aux services sociaux qu</w:t>
      </w:r>
      <w:r w:rsidR="00437336" w:rsidRPr="00437336">
        <w:rPr>
          <w:lang w:val="fr-FR"/>
        </w:rPr>
        <w:t>’</w:t>
      </w:r>
      <w:r w:rsidRPr="00437336">
        <w:rPr>
          <w:lang w:val="fr-FR"/>
        </w:rPr>
        <w:t>il ne voulait plus avoir de contacts avec son fils au motif que C.M. était toujours présente lors des visites. À partir de cette date, il refusa ainsi de participer aux rencontres, de parler à l</w:t>
      </w:r>
      <w:r w:rsidR="00437336" w:rsidRPr="00437336">
        <w:rPr>
          <w:lang w:val="fr-FR"/>
        </w:rPr>
        <w:t>’</w:t>
      </w:r>
      <w:r w:rsidRPr="00437336">
        <w:rPr>
          <w:lang w:val="fr-FR"/>
        </w:rPr>
        <w:t>enfant au téléphone et de passer des vacances avec lui.</w:t>
      </w:r>
    </w:p>
    <w:p w:rsidR="004A3B5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23</w:t>
      </w:r>
      <w:r w:rsidRPr="00437336">
        <w:rPr>
          <w:lang w:val="fr-FR"/>
        </w:rPr>
        <w:fldChar w:fldCharType="end"/>
      </w:r>
      <w:r w:rsidRPr="00437336">
        <w:rPr>
          <w:lang w:val="fr-FR"/>
        </w:rPr>
        <w:t>.  Le 25 janvier 2012, C.M. ayant formulé l</w:t>
      </w:r>
      <w:r w:rsidR="00437336" w:rsidRPr="00437336">
        <w:rPr>
          <w:lang w:val="fr-FR"/>
        </w:rPr>
        <w:t>’</w:t>
      </w:r>
      <w:r w:rsidRPr="00437336">
        <w:rPr>
          <w:lang w:val="fr-FR"/>
        </w:rPr>
        <w:t>intention de déménager à Turin avec l</w:t>
      </w:r>
      <w:r w:rsidR="00437336" w:rsidRPr="00437336">
        <w:rPr>
          <w:lang w:val="fr-FR"/>
        </w:rPr>
        <w:t>’</w:t>
      </w:r>
      <w:r w:rsidRPr="00437336">
        <w:rPr>
          <w:lang w:val="fr-FR"/>
        </w:rPr>
        <w:t>enfant, le parquet saisit le tribunal à ce sujet. À cette occasion, il demanda l</w:t>
      </w:r>
      <w:r w:rsidR="00437336" w:rsidRPr="00437336">
        <w:rPr>
          <w:lang w:val="fr-FR"/>
        </w:rPr>
        <w:t>’</w:t>
      </w:r>
      <w:r w:rsidRPr="00437336">
        <w:rPr>
          <w:lang w:val="fr-FR"/>
        </w:rPr>
        <w:t>ouverture d</w:t>
      </w:r>
      <w:r w:rsidR="00437336" w:rsidRPr="00437336">
        <w:rPr>
          <w:lang w:val="fr-FR"/>
        </w:rPr>
        <w:t>’</w:t>
      </w:r>
      <w:r w:rsidRPr="00437336">
        <w:rPr>
          <w:lang w:val="fr-FR"/>
        </w:rPr>
        <w:t>une procédure de déchéance de l</w:t>
      </w:r>
      <w:r w:rsidR="00437336" w:rsidRPr="00437336">
        <w:rPr>
          <w:lang w:val="fr-FR"/>
        </w:rPr>
        <w:t>’</w:t>
      </w:r>
      <w:r w:rsidRPr="00437336">
        <w:rPr>
          <w:lang w:val="fr-FR"/>
        </w:rPr>
        <w:t>autorité parentale du requérant. Il indiquait que ce dernier avait interrompu tout rapport avec l</w:t>
      </w:r>
      <w:r w:rsidR="00437336" w:rsidRPr="00437336">
        <w:rPr>
          <w:lang w:val="fr-FR"/>
        </w:rPr>
        <w:t>’</w:t>
      </w:r>
      <w:r w:rsidRPr="00437336">
        <w:rPr>
          <w:lang w:val="fr-FR"/>
        </w:rPr>
        <w:t>enfant et qu</w:t>
      </w:r>
      <w:r w:rsidR="00437336" w:rsidRPr="00437336">
        <w:rPr>
          <w:lang w:val="fr-FR"/>
        </w:rPr>
        <w:t>’</w:t>
      </w:r>
      <w:r w:rsidRPr="00437336">
        <w:rPr>
          <w:lang w:val="fr-FR"/>
        </w:rPr>
        <w:t>il n</w:t>
      </w:r>
      <w:r w:rsidR="00437336" w:rsidRPr="00437336">
        <w:rPr>
          <w:lang w:val="fr-FR"/>
        </w:rPr>
        <w:t>’</w:t>
      </w:r>
      <w:r w:rsidRPr="00437336">
        <w:rPr>
          <w:lang w:val="fr-FR"/>
        </w:rPr>
        <w:t>avait pas versé la pension alimentaire. Il ajoutait qu</w:t>
      </w:r>
      <w:r w:rsidR="00437336" w:rsidRPr="00437336">
        <w:rPr>
          <w:lang w:val="fr-FR"/>
        </w:rPr>
        <w:t>’</w:t>
      </w:r>
      <w:r w:rsidRPr="00437336">
        <w:rPr>
          <w:lang w:val="fr-FR"/>
        </w:rPr>
        <w:t>il s</w:t>
      </w:r>
      <w:r w:rsidR="00437336" w:rsidRPr="00437336">
        <w:rPr>
          <w:lang w:val="fr-FR"/>
        </w:rPr>
        <w:t>’</w:t>
      </w:r>
      <w:r w:rsidRPr="00437336">
        <w:rPr>
          <w:lang w:val="fr-FR"/>
        </w:rPr>
        <w:t xml:space="preserve">était opposé à la possibilité que son fils passât ses vacances sur le lieu </w:t>
      </w:r>
      <w:r w:rsidRPr="00437336">
        <w:rPr>
          <w:lang w:val="fr-FR"/>
        </w:rPr>
        <w:lastRenderedPageBreak/>
        <w:t>d</w:t>
      </w:r>
      <w:r w:rsidR="00437336" w:rsidRPr="00437336">
        <w:rPr>
          <w:lang w:val="fr-FR"/>
        </w:rPr>
        <w:t>’</w:t>
      </w:r>
      <w:r w:rsidRPr="00437336">
        <w:rPr>
          <w:lang w:val="fr-FR"/>
        </w:rPr>
        <w:t>enfance de C.M. et qu</w:t>
      </w:r>
      <w:r w:rsidR="00437336" w:rsidRPr="00437336">
        <w:rPr>
          <w:lang w:val="fr-FR"/>
        </w:rPr>
        <w:t>’</w:t>
      </w:r>
      <w:r w:rsidRPr="00437336">
        <w:rPr>
          <w:lang w:val="fr-FR"/>
        </w:rPr>
        <w:t>il avait sollicité un changement d</w:t>
      </w:r>
      <w:r w:rsidR="00437336" w:rsidRPr="00437336">
        <w:rPr>
          <w:lang w:val="fr-FR"/>
        </w:rPr>
        <w:t>’</w:t>
      </w:r>
      <w:r w:rsidRPr="00437336">
        <w:rPr>
          <w:lang w:val="fr-FR"/>
        </w:rPr>
        <w:t>école du mineur sans motiver sa requête par un véritable projet éducatif.</w:t>
      </w:r>
    </w:p>
    <w:p w:rsidR="004A3B5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24</w:t>
      </w:r>
      <w:r w:rsidRPr="00437336">
        <w:rPr>
          <w:lang w:val="fr-FR"/>
        </w:rPr>
        <w:fldChar w:fldCharType="end"/>
      </w:r>
      <w:r w:rsidRPr="00437336">
        <w:rPr>
          <w:lang w:val="fr-FR"/>
        </w:rPr>
        <w:t>.  Le requérant s</w:t>
      </w:r>
      <w:r w:rsidR="00437336" w:rsidRPr="00437336">
        <w:rPr>
          <w:lang w:val="fr-FR"/>
        </w:rPr>
        <w:t>’</w:t>
      </w:r>
      <w:r w:rsidRPr="00437336">
        <w:rPr>
          <w:lang w:val="fr-FR"/>
        </w:rPr>
        <w:t>opposa à la demande du parquet.</w:t>
      </w:r>
    </w:p>
    <w:p w:rsidR="004A3B5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25</w:t>
      </w:r>
      <w:r w:rsidRPr="00437336">
        <w:rPr>
          <w:lang w:val="fr-FR"/>
        </w:rPr>
        <w:fldChar w:fldCharType="end"/>
      </w:r>
      <w:r w:rsidRPr="00437336">
        <w:rPr>
          <w:lang w:val="fr-FR"/>
        </w:rPr>
        <w:t>.  Le 23 février 2012, il s</w:t>
      </w:r>
      <w:r w:rsidR="00437336" w:rsidRPr="00437336">
        <w:rPr>
          <w:lang w:val="fr-FR"/>
        </w:rPr>
        <w:t>’</w:t>
      </w:r>
      <w:r w:rsidRPr="00437336">
        <w:rPr>
          <w:lang w:val="fr-FR"/>
        </w:rPr>
        <w:t>adressa au tribunal afin d</w:t>
      </w:r>
      <w:r w:rsidR="00437336" w:rsidRPr="00437336">
        <w:rPr>
          <w:lang w:val="fr-FR"/>
        </w:rPr>
        <w:t>’</w:t>
      </w:r>
      <w:r w:rsidRPr="00437336">
        <w:rPr>
          <w:lang w:val="fr-FR"/>
        </w:rPr>
        <w:t>obtenir la garde exclusive de l</w:t>
      </w:r>
      <w:r w:rsidR="00437336" w:rsidRPr="00437336">
        <w:rPr>
          <w:lang w:val="fr-FR"/>
        </w:rPr>
        <w:t>’</w:t>
      </w:r>
      <w:r w:rsidRPr="00437336">
        <w:rPr>
          <w:lang w:val="fr-FR"/>
        </w:rPr>
        <w:t>enfant en raison d</w:t>
      </w:r>
      <w:r w:rsidR="00437336" w:rsidRPr="00437336">
        <w:rPr>
          <w:lang w:val="fr-FR"/>
        </w:rPr>
        <w:t>’</w:t>
      </w:r>
      <w:r w:rsidRPr="00437336">
        <w:rPr>
          <w:lang w:val="fr-FR"/>
        </w:rPr>
        <w:t>une impossibilité d</w:t>
      </w:r>
      <w:r w:rsidR="00437336" w:rsidRPr="00437336">
        <w:rPr>
          <w:lang w:val="fr-FR"/>
        </w:rPr>
        <w:t>’</w:t>
      </w:r>
      <w:r w:rsidRPr="00437336">
        <w:rPr>
          <w:lang w:val="fr-FR"/>
        </w:rPr>
        <w:t>exercer son droit de visite.</w:t>
      </w:r>
    </w:p>
    <w:p w:rsidR="004A3B5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26</w:t>
      </w:r>
      <w:r w:rsidRPr="00437336">
        <w:rPr>
          <w:lang w:val="fr-FR"/>
        </w:rPr>
        <w:fldChar w:fldCharType="end"/>
      </w:r>
      <w:r w:rsidRPr="00437336">
        <w:rPr>
          <w:lang w:val="fr-FR"/>
        </w:rPr>
        <w:t>.  Le tribunal décida de joindre les deux procédures.</w:t>
      </w:r>
    </w:p>
    <w:p w:rsidR="004A3B5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27</w:t>
      </w:r>
      <w:r w:rsidRPr="00437336">
        <w:rPr>
          <w:lang w:val="fr-FR"/>
        </w:rPr>
        <w:fldChar w:fldCharType="end"/>
      </w:r>
      <w:r w:rsidRPr="00437336">
        <w:rPr>
          <w:lang w:val="fr-FR"/>
        </w:rPr>
        <w:t>.  Entre-temps, le requérant avait sollicité du tribunal l</w:t>
      </w:r>
      <w:r w:rsidR="00437336" w:rsidRPr="00437336">
        <w:rPr>
          <w:lang w:val="fr-FR"/>
        </w:rPr>
        <w:t>’</w:t>
      </w:r>
      <w:r w:rsidRPr="00437336">
        <w:rPr>
          <w:lang w:val="fr-FR"/>
        </w:rPr>
        <w:t>autorisation de voir son fils pendant le week-end de Pâques et le 1</w:t>
      </w:r>
      <w:r w:rsidRPr="00437336">
        <w:rPr>
          <w:vertAlign w:val="superscript"/>
          <w:lang w:val="fr-FR"/>
        </w:rPr>
        <w:t>er</w:t>
      </w:r>
      <w:r w:rsidRPr="00437336">
        <w:rPr>
          <w:lang w:val="fr-FR"/>
        </w:rPr>
        <w:t xml:space="preserve"> mai.</w:t>
      </w:r>
    </w:p>
    <w:p w:rsidR="004A3B56" w:rsidRPr="00437336" w:rsidRDefault="004A3B56" w:rsidP="00437336">
      <w:pPr>
        <w:pStyle w:val="ECHRPara"/>
        <w:rPr>
          <w:lang w:val="fr-FR"/>
        </w:rPr>
      </w:pPr>
      <w:r w:rsidRPr="00437336">
        <w:rPr>
          <w:lang w:val="fr-FR"/>
        </w:rPr>
        <w:t>Le tribunal avait alors jugé qu</w:t>
      </w:r>
      <w:r w:rsidR="00437336" w:rsidRPr="00437336">
        <w:rPr>
          <w:lang w:val="fr-FR"/>
        </w:rPr>
        <w:t>’</w:t>
      </w:r>
      <w:r w:rsidRPr="00437336">
        <w:rPr>
          <w:lang w:val="fr-FR"/>
        </w:rPr>
        <w:t>il n</w:t>
      </w:r>
      <w:r w:rsidR="00437336" w:rsidRPr="00437336">
        <w:rPr>
          <w:lang w:val="fr-FR"/>
        </w:rPr>
        <w:t>’</w:t>
      </w:r>
      <w:r w:rsidRPr="00437336">
        <w:rPr>
          <w:lang w:val="fr-FR"/>
        </w:rPr>
        <w:t>y avait pas lieu d</w:t>
      </w:r>
      <w:r w:rsidR="00437336" w:rsidRPr="00437336">
        <w:rPr>
          <w:lang w:val="fr-FR"/>
        </w:rPr>
        <w:t>’</w:t>
      </w:r>
      <w:r w:rsidRPr="00437336">
        <w:rPr>
          <w:lang w:val="fr-FR"/>
        </w:rPr>
        <w:t>examiner cette demande. Concernant le week-end de Pâques, il observait que le requérant avait déjà été autorisé à passer les vacances avec son fils. S</w:t>
      </w:r>
      <w:r w:rsidR="00437336" w:rsidRPr="00437336">
        <w:rPr>
          <w:lang w:val="fr-FR"/>
        </w:rPr>
        <w:t>’</w:t>
      </w:r>
      <w:r w:rsidRPr="00437336">
        <w:rPr>
          <w:lang w:val="fr-FR"/>
        </w:rPr>
        <w:t>agissant du 1</w:t>
      </w:r>
      <w:r w:rsidRPr="00437336">
        <w:rPr>
          <w:vertAlign w:val="superscript"/>
          <w:lang w:val="fr-FR"/>
        </w:rPr>
        <w:t>er </w:t>
      </w:r>
      <w:r w:rsidRPr="00437336">
        <w:rPr>
          <w:lang w:val="fr-FR"/>
        </w:rPr>
        <w:t>mai, il relevait que l</w:t>
      </w:r>
      <w:r w:rsidR="00437336" w:rsidRPr="00437336">
        <w:rPr>
          <w:lang w:val="fr-FR"/>
        </w:rPr>
        <w:t>’</w:t>
      </w:r>
      <w:r w:rsidRPr="00437336">
        <w:rPr>
          <w:lang w:val="fr-FR"/>
        </w:rPr>
        <w:t>intéressé ne voyait plus son fils depuis novembre 2010 et que sa décision du 27 avril 2010 lui avait reconnu un droit de visite très élargi.</w:t>
      </w:r>
    </w:p>
    <w:p w:rsidR="004A3B5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28</w:t>
      </w:r>
      <w:r w:rsidRPr="00437336">
        <w:rPr>
          <w:lang w:val="fr-FR"/>
        </w:rPr>
        <w:fldChar w:fldCharType="end"/>
      </w:r>
      <w:r w:rsidRPr="00437336">
        <w:rPr>
          <w:lang w:val="fr-FR"/>
        </w:rPr>
        <w:t>.  Par une décision du 29 mai 2012, prenant en considération la situation économique difficile de C.M., le tribunal autorisa celle-ci à s</w:t>
      </w:r>
      <w:r w:rsidR="00437336" w:rsidRPr="00437336">
        <w:rPr>
          <w:lang w:val="fr-FR"/>
        </w:rPr>
        <w:t>’</w:t>
      </w:r>
      <w:r w:rsidRPr="00437336">
        <w:rPr>
          <w:lang w:val="fr-FR"/>
        </w:rPr>
        <w:t>installer à Turin, sa ville natale, sise à 200 kilomètres de Bergame. À cet égard, il relevait que, à Turin, C.M. avait la possibilité de vivre dans un appartement sans payer de loyer et qu</w:t>
      </w:r>
      <w:r w:rsidR="00437336" w:rsidRPr="00437336">
        <w:rPr>
          <w:lang w:val="fr-FR"/>
        </w:rPr>
        <w:t>’</w:t>
      </w:r>
      <w:r w:rsidRPr="00437336">
        <w:rPr>
          <w:lang w:val="fr-FR"/>
        </w:rPr>
        <w:t>elle pouvait être aidée par une partie de sa famille. Quant à la thèse du requérant selon laquelle il n</w:t>
      </w:r>
      <w:r w:rsidR="00437336" w:rsidRPr="00437336">
        <w:rPr>
          <w:lang w:val="fr-FR"/>
        </w:rPr>
        <w:t>’</w:t>
      </w:r>
      <w:r w:rsidRPr="00437336">
        <w:rPr>
          <w:lang w:val="fr-FR"/>
        </w:rPr>
        <w:t>aurait plus de contacts avec son fils en cas de déménagement de son ex-compagne, le tribunal soulignait que l</w:t>
      </w:r>
      <w:r w:rsidR="00437336" w:rsidRPr="00437336">
        <w:rPr>
          <w:lang w:val="fr-FR"/>
        </w:rPr>
        <w:t>’</w:t>
      </w:r>
      <w:r w:rsidRPr="00437336">
        <w:rPr>
          <w:lang w:val="fr-FR"/>
        </w:rPr>
        <w:t>intéressé n</w:t>
      </w:r>
      <w:r w:rsidR="00437336" w:rsidRPr="00437336">
        <w:rPr>
          <w:lang w:val="fr-FR"/>
        </w:rPr>
        <w:t>’</w:t>
      </w:r>
      <w:r w:rsidRPr="00437336">
        <w:rPr>
          <w:lang w:val="fr-FR"/>
        </w:rPr>
        <w:t>exerçait plus son droit de visite depuis novembre 2010 et que ce comportement n</w:t>
      </w:r>
      <w:r w:rsidR="00437336" w:rsidRPr="00437336">
        <w:rPr>
          <w:lang w:val="fr-FR"/>
        </w:rPr>
        <w:t>’</w:t>
      </w:r>
      <w:r w:rsidRPr="00437336">
        <w:rPr>
          <w:lang w:val="fr-FR"/>
        </w:rPr>
        <w:t>était pas justifié, même au regard de l</w:t>
      </w:r>
      <w:r w:rsidR="00437336" w:rsidRPr="00437336">
        <w:rPr>
          <w:lang w:val="fr-FR"/>
        </w:rPr>
        <w:t>’</w:t>
      </w:r>
      <w:r w:rsidRPr="00437336">
        <w:rPr>
          <w:lang w:val="fr-FR"/>
        </w:rPr>
        <w:t>opposition manifestée par C.M. aux rencontres père-fils. Il observait également que la distance de 200 kilomètres n</w:t>
      </w:r>
      <w:r w:rsidR="00437336" w:rsidRPr="00437336">
        <w:rPr>
          <w:lang w:val="fr-FR"/>
        </w:rPr>
        <w:t>’</w:t>
      </w:r>
      <w:r w:rsidRPr="00437336">
        <w:rPr>
          <w:lang w:val="fr-FR"/>
        </w:rPr>
        <w:t>empêcherait pas le requérant de voyager jusqu</w:t>
      </w:r>
      <w:r w:rsidR="00437336" w:rsidRPr="00437336">
        <w:rPr>
          <w:lang w:val="fr-FR"/>
        </w:rPr>
        <w:t>’</w:t>
      </w:r>
      <w:r w:rsidRPr="00437336">
        <w:rPr>
          <w:lang w:val="fr-FR"/>
        </w:rPr>
        <w:t>à Turin pour voir l</w:t>
      </w:r>
      <w:r w:rsidR="00437336" w:rsidRPr="00437336">
        <w:rPr>
          <w:lang w:val="fr-FR"/>
        </w:rPr>
        <w:t>’</w:t>
      </w:r>
      <w:r w:rsidRPr="00437336">
        <w:rPr>
          <w:lang w:val="fr-FR"/>
        </w:rPr>
        <w:t>enfant. Par conséquent, le tribunal chargeait les services sociaux de Turin de programmer, dans un premier temps, des rencontres en milieu protégé tous les quinze jours et, dans un deuxième temps, des rencontres sans surveillance. Il précisait que le voyage entre Bergame et Turin serait à la charge du requérant pour les allers et de C.M. pour les retours.</w:t>
      </w:r>
    </w:p>
    <w:p w:rsidR="004A3B5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29</w:t>
      </w:r>
      <w:r w:rsidRPr="00437336">
        <w:rPr>
          <w:lang w:val="fr-FR"/>
        </w:rPr>
        <w:fldChar w:fldCharType="end"/>
      </w:r>
      <w:r w:rsidRPr="00437336">
        <w:rPr>
          <w:lang w:val="fr-FR"/>
        </w:rPr>
        <w:t>.  Le requérant interjeta appel.</w:t>
      </w:r>
    </w:p>
    <w:p w:rsidR="004A3B56" w:rsidRPr="00437336" w:rsidRDefault="004A3B56" w:rsidP="00437336">
      <w:pPr>
        <w:pStyle w:val="ECHRPara"/>
        <w:rPr>
          <w:lang w:val="fr-FR"/>
        </w:rPr>
      </w:pPr>
      <w:r w:rsidRPr="00437336">
        <w:rPr>
          <w:lang w:val="fr-FR"/>
        </w:rPr>
        <w:t>Par une décision du 6 juillet 2012, la cour d</w:t>
      </w:r>
      <w:r w:rsidR="00437336" w:rsidRPr="00437336">
        <w:rPr>
          <w:lang w:val="fr-FR"/>
        </w:rPr>
        <w:t>’</w:t>
      </w:r>
      <w:r w:rsidRPr="00437336">
        <w:rPr>
          <w:lang w:val="fr-FR"/>
        </w:rPr>
        <w:t>appel rejeta la demande de C.M. par laquelle celle-ci sollicitait la déchéance de l</w:t>
      </w:r>
      <w:r w:rsidR="00437336" w:rsidRPr="00437336">
        <w:rPr>
          <w:lang w:val="fr-FR"/>
        </w:rPr>
        <w:t>’</w:t>
      </w:r>
      <w:r w:rsidRPr="00437336">
        <w:rPr>
          <w:lang w:val="fr-FR"/>
        </w:rPr>
        <w:t>autorité parentale de son ex-compagnon. Elle observa par ailleurs que, en tant qu</w:t>
      </w:r>
      <w:r w:rsidR="00437336" w:rsidRPr="00437336">
        <w:rPr>
          <w:lang w:val="fr-FR"/>
        </w:rPr>
        <w:t>’</w:t>
      </w:r>
      <w:r w:rsidRPr="00437336">
        <w:rPr>
          <w:lang w:val="fr-FR"/>
        </w:rPr>
        <w:t>avocate, C.M. pouvait travailler plus facilement à Turin, relevant qu</w:t>
      </w:r>
      <w:r w:rsidR="00437336" w:rsidRPr="00437336">
        <w:rPr>
          <w:lang w:val="fr-FR"/>
        </w:rPr>
        <w:t>’</w:t>
      </w:r>
      <w:r w:rsidRPr="00437336">
        <w:rPr>
          <w:lang w:val="fr-FR"/>
        </w:rPr>
        <w:t>elle y disposait d</w:t>
      </w:r>
      <w:r w:rsidR="00437336" w:rsidRPr="00437336">
        <w:rPr>
          <w:lang w:val="fr-FR"/>
        </w:rPr>
        <w:t>’</w:t>
      </w:r>
      <w:r w:rsidRPr="00437336">
        <w:rPr>
          <w:lang w:val="fr-FR"/>
        </w:rPr>
        <w:t>un appartement. Par conséquent, elle confirma la décision du tribunal, estimant que le déménagement de C.M. et de l</w:t>
      </w:r>
      <w:r w:rsidR="00437336" w:rsidRPr="00437336">
        <w:rPr>
          <w:lang w:val="fr-FR"/>
        </w:rPr>
        <w:t>’</w:t>
      </w:r>
      <w:r w:rsidRPr="00437336">
        <w:rPr>
          <w:lang w:val="fr-FR"/>
        </w:rPr>
        <w:t>enfant n</w:t>
      </w:r>
      <w:r w:rsidR="00437336" w:rsidRPr="00437336">
        <w:rPr>
          <w:lang w:val="fr-FR"/>
        </w:rPr>
        <w:t>’</w:t>
      </w:r>
      <w:r w:rsidRPr="00437336">
        <w:rPr>
          <w:lang w:val="fr-FR"/>
        </w:rPr>
        <w:t>aurait pas pour effet d</w:t>
      </w:r>
      <w:r w:rsidR="00437336" w:rsidRPr="00437336">
        <w:rPr>
          <w:lang w:val="fr-FR"/>
        </w:rPr>
        <w:t>’</w:t>
      </w:r>
      <w:r w:rsidRPr="00437336">
        <w:rPr>
          <w:lang w:val="fr-FR"/>
        </w:rPr>
        <w:t>empêcher le requérant d</w:t>
      </w:r>
      <w:r w:rsidR="00437336" w:rsidRPr="00437336">
        <w:rPr>
          <w:lang w:val="fr-FR"/>
        </w:rPr>
        <w:t>’</w:t>
      </w:r>
      <w:r w:rsidRPr="00437336">
        <w:rPr>
          <w:lang w:val="fr-FR"/>
        </w:rPr>
        <w:t>exercer son droit de visite.</w:t>
      </w:r>
    </w:p>
    <w:p w:rsidR="004A3B5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30</w:t>
      </w:r>
      <w:r w:rsidRPr="00437336">
        <w:rPr>
          <w:lang w:val="fr-FR"/>
        </w:rPr>
        <w:fldChar w:fldCharType="end"/>
      </w:r>
      <w:r w:rsidRPr="00437336">
        <w:rPr>
          <w:lang w:val="fr-FR"/>
        </w:rPr>
        <w:t>.  À partir de septembre 2012, les services sociaux de Turin essayèrent de se mettre en contact avec le requérant. Le 28 septembre 2012, ce dernier informa les services sociaux qu</w:t>
      </w:r>
      <w:r w:rsidR="00437336" w:rsidRPr="00437336">
        <w:rPr>
          <w:lang w:val="fr-FR"/>
        </w:rPr>
        <w:t>’</w:t>
      </w:r>
      <w:r w:rsidRPr="00437336">
        <w:rPr>
          <w:lang w:val="fr-FR"/>
        </w:rPr>
        <w:t xml:space="preserve">il ne voulait pas participer aux rencontres en milieu protégé avec son fils, aux motifs que le tribunal lui avait reconnu à </w:t>
      </w:r>
      <w:r w:rsidRPr="00437336">
        <w:rPr>
          <w:lang w:val="fr-FR"/>
        </w:rPr>
        <w:lastRenderedPageBreak/>
        <w:t>plusieurs reprises un droit de visite qui n</w:t>
      </w:r>
      <w:r w:rsidR="00437336" w:rsidRPr="00437336">
        <w:rPr>
          <w:lang w:val="fr-FR"/>
        </w:rPr>
        <w:t>’</w:t>
      </w:r>
      <w:r w:rsidRPr="00437336">
        <w:rPr>
          <w:lang w:val="fr-FR"/>
        </w:rPr>
        <w:t>aurait jamais été respecté et qu</w:t>
      </w:r>
      <w:r w:rsidR="00437336" w:rsidRPr="00437336">
        <w:rPr>
          <w:lang w:val="fr-FR"/>
        </w:rPr>
        <w:t>’</w:t>
      </w:r>
      <w:r w:rsidRPr="00437336">
        <w:rPr>
          <w:lang w:val="fr-FR"/>
        </w:rPr>
        <w:t>il ne voulait plus rencontrer l</w:t>
      </w:r>
      <w:r w:rsidR="00437336" w:rsidRPr="00437336">
        <w:rPr>
          <w:lang w:val="fr-FR"/>
        </w:rPr>
        <w:t>’</w:t>
      </w:r>
      <w:r w:rsidRPr="00437336">
        <w:rPr>
          <w:lang w:val="fr-FR"/>
        </w:rPr>
        <w:t>enfant en présence des agents des services sociaux ou bien de son ex-compagne.</w:t>
      </w:r>
    </w:p>
    <w:p w:rsidR="004A3B5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31</w:t>
      </w:r>
      <w:r w:rsidRPr="00437336">
        <w:rPr>
          <w:lang w:val="fr-FR"/>
        </w:rPr>
        <w:fldChar w:fldCharType="end"/>
      </w:r>
      <w:r w:rsidRPr="00437336">
        <w:rPr>
          <w:lang w:val="fr-FR"/>
        </w:rPr>
        <w:t>.  Ultérieurement, les services sociaux rencontrèrent le requérant le 6 novembre 2012 et le 7 février 2013.</w:t>
      </w:r>
    </w:p>
    <w:p w:rsidR="004A3B5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32</w:t>
      </w:r>
      <w:r w:rsidRPr="00437336">
        <w:rPr>
          <w:lang w:val="fr-FR"/>
        </w:rPr>
        <w:fldChar w:fldCharType="end"/>
      </w:r>
      <w:r w:rsidRPr="00437336">
        <w:rPr>
          <w:lang w:val="fr-FR"/>
        </w:rPr>
        <w:t>.  Selon les services sociaux de Turin, le comportement du requérant, qui d</w:t>
      </w:r>
      <w:r w:rsidR="00437336" w:rsidRPr="00437336">
        <w:rPr>
          <w:lang w:val="fr-FR"/>
        </w:rPr>
        <w:t>’</w:t>
      </w:r>
      <w:r w:rsidRPr="00437336">
        <w:rPr>
          <w:lang w:val="fr-FR"/>
        </w:rPr>
        <w:t>après eux ne s</w:t>
      </w:r>
      <w:r w:rsidR="00437336" w:rsidRPr="00437336">
        <w:rPr>
          <w:lang w:val="fr-FR"/>
        </w:rPr>
        <w:t>’</w:t>
      </w:r>
      <w:r w:rsidRPr="00437336">
        <w:rPr>
          <w:lang w:val="fr-FR"/>
        </w:rPr>
        <w:t>était pas montré disponible pour rencontrer son fils dans les conditions fixées par le tribunal, expliquait l</w:t>
      </w:r>
      <w:r w:rsidR="00437336" w:rsidRPr="00437336">
        <w:rPr>
          <w:lang w:val="fr-FR"/>
        </w:rPr>
        <w:t>’</w:t>
      </w:r>
      <w:r w:rsidRPr="00437336">
        <w:rPr>
          <w:lang w:val="fr-FR"/>
        </w:rPr>
        <w:t>inexécution de la décision rendue par ce dernier le 29 mai 2012.</w:t>
      </w:r>
    </w:p>
    <w:p w:rsidR="004A3B56" w:rsidRPr="00437336" w:rsidRDefault="00661BD0" w:rsidP="00437336">
      <w:pPr>
        <w:pStyle w:val="ECHRHeading2"/>
        <w:rPr>
          <w:lang w:val="fr-FR"/>
        </w:rPr>
      </w:pPr>
      <w:r w:rsidRPr="00437336">
        <w:rPr>
          <w:lang w:val="fr-FR"/>
        </w:rPr>
        <w:t>B</w:t>
      </w:r>
      <w:r w:rsidR="004A3B56" w:rsidRPr="00437336">
        <w:rPr>
          <w:lang w:val="fr-FR"/>
        </w:rPr>
        <w:t>.  Procédures pénales engagées contre C.M.</w:t>
      </w:r>
    </w:p>
    <w:p w:rsidR="004A3B5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33</w:t>
      </w:r>
      <w:r w:rsidRPr="00437336">
        <w:rPr>
          <w:lang w:val="fr-FR"/>
        </w:rPr>
        <w:fldChar w:fldCharType="end"/>
      </w:r>
      <w:r w:rsidRPr="00437336">
        <w:rPr>
          <w:lang w:val="fr-FR"/>
        </w:rPr>
        <w:t>.  Par un jugement du 21 mars 2014, le tribunal de Bergame condamna C.M. à six mois de réclusion avec sursis pour inexécution des décisions du tribunal concernant le droit de visite du requérant les 13 et 17 février 2010 et le 3 mars 2012.</w:t>
      </w:r>
    </w:p>
    <w:p w:rsidR="004A3B5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34</w:t>
      </w:r>
      <w:r w:rsidRPr="00437336">
        <w:rPr>
          <w:lang w:val="fr-FR"/>
        </w:rPr>
        <w:fldChar w:fldCharType="end"/>
      </w:r>
      <w:r w:rsidRPr="00437336">
        <w:rPr>
          <w:lang w:val="fr-FR"/>
        </w:rPr>
        <w:t>.  Le 17 juillet 2014, le requérant déposa une nouvelle plainte contre C.M. au motif qu</w:t>
      </w:r>
      <w:r w:rsidR="007844C7" w:rsidRPr="00437336">
        <w:rPr>
          <w:lang w:val="fr-FR"/>
        </w:rPr>
        <w:t xml:space="preserve">e cette dernière omettait de lui donner toute </w:t>
      </w:r>
      <w:r w:rsidRPr="00437336">
        <w:rPr>
          <w:lang w:val="fr-FR"/>
        </w:rPr>
        <w:t>nouvelle de son fils.</w:t>
      </w:r>
    </w:p>
    <w:p w:rsidR="004A3B56" w:rsidRPr="00437336" w:rsidRDefault="00661BD0" w:rsidP="00437336">
      <w:pPr>
        <w:pStyle w:val="ECHRHeading2"/>
        <w:rPr>
          <w:lang w:val="fr-FR"/>
        </w:rPr>
      </w:pPr>
      <w:r w:rsidRPr="00437336">
        <w:rPr>
          <w:lang w:val="fr-FR"/>
        </w:rPr>
        <w:t>C</w:t>
      </w:r>
      <w:r w:rsidR="004A3B56" w:rsidRPr="00437336">
        <w:rPr>
          <w:lang w:val="fr-FR"/>
        </w:rPr>
        <w:t>.  Procédures pénales engagées contre le requérant</w:t>
      </w:r>
    </w:p>
    <w:p w:rsidR="004A3B5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35</w:t>
      </w:r>
      <w:r w:rsidRPr="00437336">
        <w:rPr>
          <w:lang w:val="fr-FR"/>
        </w:rPr>
        <w:fldChar w:fldCharType="end"/>
      </w:r>
      <w:r w:rsidRPr="00437336">
        <w:rPr>
          <w:lang w:val="fr-FR"/>
        </w:rPr>
        <w:t>.  Par un jugement du 19 décembre 2012, le requérant fut condamné à six mois d</w:t>
      </w:r>
      <w:r w:rsidR="00437336" w:rsidRPr="00437336">
        <w:rPr>
          <w:lang w:val="fr-FR"/>
        </w:rPr>
        <w:t>’</w:t>
      </w:r>
      <w:r w:rsidRPr="00437336">
        <w:rPr>
          <w:lang w:val="fr-FR"/>
        </w:rPr>
        <w:t>emprisonnement par le tribunal de Bergame pour les délits de non-respect d</w:t>
      </w:r>
      <w:r w:rsidR="00437336" w:rsidRPr="00437336">
        <w:rPr>
          <w:lang w:val="fr-FR"/>
        </w:rPr>
        <w:t>’</w:t>
      </w:r>
      <w:r w:rsidRPr="00437336">
        <w:rPr>
          <w:lang w:val="fr-FR"/>
        </w:rPr>
        <w:t>une décision judiciaire (article 388 du code pénal), violation des obligations d</w:t>
      </w:r>
      <w:r w:rsidR="00437336" w:rsidRPr="00437336">
        <w:rPr>
          <w:lang w:val="fr-FR"/>
        </w:rPr>
        <w:t>’</w:t>
      </w:r>
      <w:r w:rsidRPr="00437336">
        <w:rPr>
          <w:lang w:val="fr-FR"/>
        </w:rPr>
        <w:t>assistance familiale (article 570 du code pénal), lésions corporelles (article 582 du code pénal), injures (article 594 du code pénal) et menaces (article 612 du code pénal) en raison de non-paiement de la pension alimentaire, d</w:t>
      </w:r>
      <w:r w:rsidR="00437336" w:rsidRPr="00437336">
        <w:rPr>
          <w:lang w:val="fr-FR"/>
        </w:rPr>
        <w:t>’</w:t>
      </w:r>
      <w:r w:rsidRPr="00437336">
        <w:rPr>
          <w:lang w:val="fr-FR"/>
        </w:rPr>
        <w:t>abandon d</w:t>
      </w:r>
      <w:r w:rsidR="00437336" w:rsidRPr="00437336">
        <w:rPr>
          <w:lang w:val="fr-FR"/>
        </w:rPr>
        <w:t>’</w:t>
      </w:r>
      <w:r w:rsidRPr="00437336">
        <w:rPr>
          <w:lang w:val="fr-FR"/>
        </w:rPr>
        <w:t>enfant et de violence à l</w:t>
      </w:r>
      <w:r w:rsidR="00437336" w:rsidRPr="00437336">
        <w:rPr>
          <w:lang w:val="fr-FR"/>
        </w:rPr>
        <w:t>’</w:t>
      </w:r>
      <w:r w:rsidRPr="00437336">
        <w:rPr>
          <w:lang w:val="fr-FR"/>
        </w:rPr>
        <w:t>encontre de son ex-épouse.</w:t>
      </w:r>
    </w:p>
    <w:p w:rsidR="004A3B5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36</w:t>
      </w:r>
      <w:r w:rsidRPr="00437336">
        <w:rPr>
          <w:lang w:val="fr-FR"/>
        </w:rPr>
        <w:fldChar w:fldCharType="end"/>
      </w:r>
      <w:r w:rsidRPr="00437336">
        <w:rPr>
          <w:lang w:val="fr-FR"/>
        </w:rPr>
        <w:t>.  Le requérant interjeta appel de cette décision. Par un arrêt du 9 décembre 2014, la cour d</w:t>
      </w:r>
      <w:r w:rsidR="00437336" w:rsidRPr="00437336">
        <w:rPr>
          <w:lang w:val="fr-FR"/>
        </w:rPr>
        <w:t>’</w:t>
      </w:r>
      <w:r w:rsidRPr="00437336">
        <w:rPr>
          <w:lang w:val="fr-FR"/>
        </w:rPr>
        <w:t>appel de Brescia réforma le jugement du tribunal : elle acquitta le requérant pour le délit de non-respect d</w:t>
      </w:r>
      <w:r w:rsidR="00437336" w:rsidRPr="00437336">
        <w:rPr>
          <w:lang w:val="fr-FR"/>
        </w:rPr>
        <w:t>’</w:t>
      </w:r>
      <w:r w:rsidRPr="00437336">
        <w:rPr>
          <w:lang w:val="fr-FR"/>
        </w:rPr>
        <w:t>une décision judiciaire, prononça un non-lieu pour le délit de lésions corporelles et réduisit la peine à trois mois d</w:t>
      </w:r>
      <w:r w:rsidR="00437336" w:rsidRPr="00437336">
        <w:rPr>
          <w:lang w:val="fr-FR"/>
        </w:rPr>
        <w:t>’</w:t>
      </w:r>
      <w:r w:rsidRPr="00437336">
        <w:rPr>
          <w:lang w:val="fr-FR"/>
        </w:rPr>
        <w:t>emprisonnement.</w:t>
      </w:r>
    </w:p>
    <w:p w:rsidR="004A3B5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37</w:t>
      </w:r>
      <w:r w:rsidRPr="00437336">
        <w:rPr>
          <w:lang w:val="fr-FR"/>
        </w:rPr>
        <w:fldChar w:fldCharType="end"/>
      </w:r>
      <w:r w:rsidRPr="00437336">
        <w:rPr>
          <w:lang w:val="fr-FR"/>
        </w:rPr>
        <w:t xml:space="preserve">.  Le requérant se pourvut en cassation. Par une ordonnance du 29 décembre 2015, la Cour </w:t>
      </w:r>
      <w:r w:rsidR="009D28BD" w:rsidRPr="00437336">
        <w:rPr>
          <w:lang w:val="fr-FR"/>
        </w:rPr>
        <w:t xml:space="preserve">de cassation </w:t>
      </w:r>
      <w:r w:rsidRPr="00437336">
        <w:rPr>
          <w:lang w:val="fr-FR"/>
        </w:rPr>
        <w:t>le débouta.</w:t>
      </w:r>
    </w:p>
    <w:p w:rsidR="00E77CB3"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38</w:t>
      </w:r>
      <w:r w:rsidRPr="00437336">
        <w:rPr>
          <w:lang w:val="fr-FR"/>
        </w:rPr>
        <w:fldChar w:fldCharType="end"/>
      </w:r>
      <w:r w:rsidRPr="00437336">
        <w:rPr>
          <w:lang w:val="fr-FR"/>
        </w:rPr>
        <w:t>.  Par une décision du 2 février 2016, le juge des investigations préliminaires de Turin classa sans suite la plainte pour délit de dénonciation calomnieuse, prévu à l</w:t>
      </w:r>
      <w:r w:rsidR="00437336" w:rsidRPr="00437336">
        <w:rPr>
          <w:lang w:val="fr-FR"/>
        </w:rPr>
        <w:t>’</w:t>
      </w:r>
      <w:r w:rsidRPr="00437336">
        <w:rPr>
          <w:lang w:val="fr-FR"/>
        </w:rPr>
        <w:t>article 368 du code pénal, déposée par C.M. à l</w:t>
      </w:r>
      <w:r w:rsidR="00437336" w:rsidRPr="00437336">
        <w:rPr>
          <w:lang w:val="fr-FR"/>
        </w:rPr>
        <w:t>’</w:t>
      </w:r>
      <w:r w:rsidRPr="00437336">
        <w:rPr>
          <w:lang w:val="fr-FR"/>
        </w:rPr>
        <w:t>encontre du requérant, ainsi que la plainte similaire déposée par ce dernier à l</w:t>
      </w:r>
      <w:r w:rsidR="00437336" w:rsidRPr="00437336">
        <w:rPr>
          <w:lang w:val="fr-FR"/>
        </w:rPr>
        <w:t>’</w:t>
      </w:r>
      <w:r w:rsidRPr="00437336">
        <w:rPr>
          <w:lang w:val="fr-FR"/>
        </w:rPr>
        <w:t>encontre de son ex-compagne</w:t>
      </w:r>
      <w:r w:rsidR="001B7FC2" w:rsidRPr="00437336">
        <w:rPr>
          <w:lang w:val="fr-FR"/>
        </w:rPr>
        <w:t>.</w:t>
      </w:r>
    </w:p>
    <w:p w:rsidR="001B7FC2" w:rsidRPr="00437336" w:rsidRDefault="001B7FC2" w:rsidP="00437336">
      <w:pPr>
        <w:pStyle w:val="ECHRHeading1"/>
        <w:rPr>
          <w:lang w:val="fr-FR"/>
        </w:rPr>
      </w:pPr>
      <w:r w:rsidRPr="00437336">
        <w:rPr>
          <w:lang w:val="fr-FR"/>
        </w:rPr>
        <w:lastRenderedPageBreak/>
        <w:t>II.  LE DROIT INTERNE PERTINENT</w:t>
      </w:r>
    </w:p>
    <w:p w:rsidR="001B7FC2" w:rsidRPr="00437336" w:rsidRDefault="001B7FC2"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39</w:t>
      </w:r>
      <w:r w:rsidRPr="00437336">
        <w:rPr>
          <w:lang w:val="fr-FR"/>
        </w:rPr>
        <w:fldChar w:fldCharType="end"/>
      </w:r>
      <w:r w:rsidRPr="00437336">
        <w:rPr>
          <w:lang w:val="fr-FR"/>
        </w:rPr>
        <w:t>.  Le droit interne pertinent se trouve décrit dans l</w:t>
      </w:r>
      <w:r w:rsidR="00437336" w:rsidRPr="00437336">
        <w:rPr>
          <w:lang w:val="fr-FR"/>
        </w:rPr>
        <w:t>’</w:t>
      </w:r>
      <w:r w:rsidRPr="00437336">
        <w:rPr>
          <w:lang w:val="fr-FR"/>
        </w:rPr>
        <w:t xml:space="preserve">arrêt </w:t>
      </w:r>
      <w:r w:rsidR="000F6DA4" w:rsidRPr="00437336">
        <w:rPr>
          <w:i/>
          <w:lang w:val="fr-FR"/>
        </w:rPr>
        <w:t>Strumia c. </w:t>
      </w:r>
      <w:r w:rsidR="00476954" w:rsidRPr="00437336">
        <w:rPr>
          <w:i/>
          <w:lang w:val="fr-FR"/>
        </w:rPr>
        <w:t>Italie</w:t>
      </w:r>
      <w:r w:rsidR="00476954" w:rsidRPr="00437336">
        <w:rPr>
          <w:lang w:val="fr-FR"/>
        </w:rPr>
        <w:t>,</w:t>
      </w:r>
      <w:r w:rsidRPr="00437336">
        <w:rPr>
          <w:i/>
          <w:lang w:val="fr-FR"/>
        </w:rPr>
        <w:t xml:space="preserve"> </w:t>
      </w:r>
      <w:r w:rsidRPr="00437336">
        <w:rPr>
          <w:lang w:val="fr-FR"/>
        </w:rPr>
        <w:t>n</w:t>
      </w:r>
      <w:r w:rsidR="000C368D" w:rsidRPr="00437336">
        <w:rPr>
          <w:vertAlign w:val="superscript"/>
          <w:lang w:val="fr-FR"/>
        </w:rPr>
        <w:t>o</w:t>
      </w:r>
      <w:r w:rsidRPr="00437336">
        <w:rPr>
          <w:lang w:val="fr-FR"/>
        </w:rPr>
        <w:t>53377/13</w:t>
      </w:r>
      <w:r w:rsidR="00476954" w:rsidRPr="00437336">
        <w:rPr>
          <w:lang w:val="fr-FR"/>
        </w:rPr>
        <w:t>,</w:t>
      </w:r>
      <w:r w:rsidRPr="00437336">
        <w:rPr>
          <w:lang w:val="fr-FR"/>
        </w:rPr>
        <w:t xml:space="preserve"> §§ 73-78, 23 juin 2016</w:t>
      </w:r>
      <w:r w:rsidRPr="00437336">
        <w:rPr>
          <w:i/>
          <w:lang w:val="fr-FR"/>
        </w:rPr>
        <w:t>.</w:t>
      </w:r>
    </w:p>
    <w:p w:rsidR="00E77CB3" w:rsidRPr="00437336" w:rsidRDefault="00E77CB3" w:rsidP="00437336">
      <w:pPr>
        <w:pStyle w:val="ECHRTitle1"/>
        <w:rPr>
          <w:lang w:val="fr-FR"/>
        </w:rPr>
      </w:pPr>
      <w:r w:rsidRPr="00437336">
        <w:rPr>
          <w:lang w:val="fr-FR"/>
        </w:rPr>
        <w:t>EN DROIT</w:t>
      </w:r>
    </w:p>
    <w:p w:rsidR="00E77CB3" w:rsidRPr="00437336" w:rsidRDefault="00E77CB3" w:rsidP="00437336">
      <w:pPr>
        <w:pStyle w:val="ECHRHeading1"/>
        <w:rPr>
          <w:lang w:val="fr-FR"/>
        </w:rPr>
      </w:pPr>
      <w:r w:rsidRPr="00437336">
        <w:rPr>
          <w:lang w:val="fr-FR"/>
        </w:rPr>
        <w:t>I.  SUR LA VIOLATION ALLÉGUÉE DE L</w:t>
      </w:r>
      <w:r w:rsidR="00437336" w:rsidRPr="00437336">
        <w:rPr>
          <w:lang w:val="fr-FR"/>
        </w:rPr>
        <w:t>’</w:t>
      </w:r>
      <w:r w:rsidRPr="00437336">
        <w:rPr>
          <w:lang w:val="fr-FR"/>
        </w:rPr>
        <w:t xml:space="preserve">ARTICLE </w:t>
      </w:r>
      <w:r w:rsidR="000E6E2F" w:rsidRPr="00437336">
        <w:rPr>
          <w:lang w:val="fr-FR"/>
        </w:rPr>
        <w:t>8</w:t>
      </w:r>
      <w:r w:rsidRPr="00437336">
        <w:rPr>
          <w:lang w:val="fr-FR"/>
        </w:rPr>
        <w:t xml:space="preserve"> DE LA CONVENTION</w:t>
      </w:r>
    </w:p>
    <w:p w:rsidR="000E6E2F" w:rsidRPr="00437336" w:rsidRDefault="000E6E2F"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40</w:t>
      </w:r>
      <w:r w:rsidRPr="00437336">
        <w:rPr>
          <w:lang w:val="fr-FR"/>
        </w:rPr>
        <w:fldChar w:fldCharType="end"/>
      </w:r>
      <w:r w:rsidRPr="00437336">
        <w:rPr>
          <w:lang w:val="fr-FR"/>
        </w:rPr>
        <w:t>.  Le requérant allègue que les autorités ont toléré le comportement de C.M., inacceptable à ses yeux, puisque celle-ci aurait entravé l</w:t>
      </w:r>
      <w:r w:rsidR="00437336" w:rsidRPr="00437336">
        <w:rPr>
          <w:lang w:val="fr-FR"/>
        </w:rPr>
        <w:t>’</w:t>
      </w:r>
      <w:r w:rsidRPr="00437336">
        <w:rPr>
          <w:lang w:val="fr-FR"/>
        </w:rPr>
        <w:t>exercice de son droit de visite et aurait essayé de dresser l</w:t>
      </w:r>
      <w:r w:rsidR="00437336" w:rsidRPr="00437336">
        <w:rPr>
          <w:lang w:val="fr-FR"/>
        </w:rPr>
        <w:t>’</w:t>
      </w:r>
      <w:r w:rsidRPr="00437336">
        <w:rPr>
          <w:lang w:val="fr-FR"/>
        </w:rPr>
        <w:t>enfant contre lui. Il se plaint également que les autorités n</w:t>
      </w:r>
      <w:r w:rsidR="00437336" w:rsidRPr="00437336">
        <w:rPr>
          <w:lang w:val="fr-FR"/>
        </w:rPr>
        <w:t>’</w:t>
      </w:r>
      <w:r w:rsidRPr="00437336">
        <w:rPr>
          <w:lang w:val="fr-FR"/>
        </w:rPr>
        <w:t>aient pas pris des mesures positives qui lui auraient permis d</w:t>
      </w:r>
      <w:r w:rsidR="00437336" w:rsidRPr="00437336">
        <w:rPr>
          <w:lang w:val="fr-FR"/>
        </w:rPr>
        <w:t>’</w:t>
      </w:r>
      <w:r w:rsidRPr="00437336">
        <w:rPr>
          <w:lang w:val="fr-FR"/>
        </w:rPr>
        <w:t>exercer son droit de visite et de nouer une relation avec son fils. Il invoque l</w:t>
      </w:r>
      <w:r w:rsidR="00437336" w:rsidRPr="00437336">
        <w:rPr>
          <w:lang w:val="fr-FR"/>
        </w:rPr>
        <w:t>’</w:t>
      </w:r>
      <w:r w:rsidRPr="00437336">
        <w:rPr>
          <w:lang w:val="fr-FR"/>
        </w:rPr>
        <w:t>article 8 de la Convention, qui est ainsi libellé :</w:t>
      </w:r>
    </w:p>
    <w:p w:rsidR="000E6E2F" w:rsidRPr="00437336" w:rsidRDefault="000E6E2F" w:rsidP="00437336">
      <w:pPr>
        <w:pStyle w:val="ECHRParaQuote"/>
        <w:rPr>
          <w:lang w:val="fr-FR"/>
        </w:rPr>
      </w:pPr>
      <w:r w:rsidRPr="00437336">
        <w:rPr>
          <w:lang w:val="fr-FR"/>
        </w:rPr>
        <w:t>« 1.  Toute personne a droit au respect</w:t>
      </w:r>
      <w:r w:rsidR="009D28BD" w:rsidRPr="00437336">
        <w:rPr>
          <w:lang w:val="fr-FR"/>
        </w:rPr>
        <w:t xml:space="preserve"> de sa vie privée et familiale</w:t>
      </w:r>
      <w:r w:rsidR="007844C7" w:rsidRPr="00437336">
        <w:rPr>
          <w:lang w:val="fr-FR"/>
        </w:rPr>
        <w:t xml:space="preserve"> </w:t>
      </w:r>
      <w:r w:rsidR="009D28BD" w:rsidRPr="00437336">
        <w:rPr>
          <w:lang w:val="fr-FR"/>
        </w:rPr>
        <w:t>(</w:t>
      </w:r>
      <w:r w:rsidR="000C368D" w:rsidRPr="00437336">
        <w:rPr>
          <w:lang w:val="fr-FR"/>
        </w:rPr>
        <w:t>...</w:t>
      </w:r>
      <w:r w:rsidR="009D28BD" w:rsidRPr="00437336">
        <w:rPr>
          <w:lang w:val="fr-FR"/>
        </w:rPr>
        <w:t>)</w:t>
      </w:r>
    </w:p>
    <w:p w:rsidR="000E6E2F" w:rsidRPr="00437336" w:rsidRDefault="000E6E2F" w:rsidP="00437336">
      <w:pPr>
        <w:pStyle w:val="ECHRParaQuote"/>
        <w:ind w:firstLine="295"/>
        <w:rPr>
          <w:lang w:val="fr-FR"/>
        </w:rPr>
      </w:pPr>
      <w:r w:rsidRPr="00437336">
        <w:rPr>
          <w:lang w:val="fr-FR"/>
        </w:rPr>
        <w:t>2.  Il ne peut y avoir ingérence d</w:t>
      </w:r>
      <w:r w:rsidR="00437336" w:rsidRPr="00437336">
        <w:rPr>
          <w:lang w:val="fr-FR"/>
        </w:rPr>
        <w:t>’</w:t>
      </w:r>
      <w:r w:rsidRPr="00437336">
        <w:rPr>
          <w:lang w:val="fr-FR"/>
        </w:rPr>
        <w:t>une autorité publique dans l</w:t>
      </w:r>
      <w:r w:rsidR="00437336" w:rsidRPr="00437336">
        <w:rPr>
          <w:lang w:val="fr-FR"/>
        </w:rPr>
        <w:t>’</w:t>
      </w:r>
      <w:r w:rsidRPr="00437336">
        <w:rPr>
          <w:lang w:val="fr-FR"/>
        </w:rPr>
        <w:t>exercice de ce droit que pour autant que cette ingérence est prévue par la loi et qu</w:t>
      </w:r>
      <w:r w:rsidR="00437336" w:rsidRPr="00437336">
        <w:rPr>
          <w:lang w:val="fr-FR"/>
        </w:rPr>
        <w:t>’</w:t>
      </w:r>
      <w:r w:rsidRPr="00437336">
        <w:rPr>
          <w:lang w:val="fr-FR"/>
        </w:rPr>
        <w:t>elle constitue une mesure qui, dans une société démocratique, est nécessaire à la sécurité nationale, à la sûreté publique, au bien</w:t>
      </w:r>
      <w:r w:rsidRPr="00437336">
        <w:rPr>
          <w:lang w:val="fr-FR"/>
        </w:rPr>
        <w:noBreakHyphen/>
        <w:t>être économique du pays, à la défense de l</w:t>
      </w:r>
      <w:r w:rsidR="00437336" w:rsidRPr="00437336">
        <w:rPr>
          <w:lang w:val="fr-FR"/>
        </w:rPr>
        <w:t>’</w:t>
      </w:r>
      <w:r w:rsidRPr="00437336">
        <w:rPr>
          <w:lang w:val="fr-FR"/>
        </w:rPr>
        <w:t>ordre et à la prévention des infractions pénales, à la protection de la santé ou de la morale, ou à la protection des droits et libertés d</w:t>
      </w:r>
      <w:r w:rsidR="00437336" w:rsidRPr="00437336">
        <w:rPr>
          <w:lang w:val="fr-FR"/>
        </w:rPr>
        <w:t>’</w:t>
      </w:r>
      <w:r w:rsidRPr="00437336">
        <w:rPr>
          <w:lang w:val="fr-FR"/>
        </w:rPr>
        <w:t>autrui. »</w:t>
      </w:r>
    </w:p>
    <w:p w:rsidR="000E6E2F" w:rsidRPr="00437336" w:rsidRDefault="000E6E2F" w:rsidP="00437336">
      <w:pPr>
        <w:pStyle w:val="ECHRHeading2"/>
        <w:rPr>
          <w:rFonts w:eastAsia="Times New Roman"/>
          <w:lang w:val="fr-FR"/>
        </w:rPr>
      </w:pPr>
      <w:r w:rsidRPr="00437336">
        <w:rPr>
          <w:rFonts w:eastAsia="Times New Roman"/>
          <w:lang w:val="fr-FR"/>
        </w:rPr>
        <w:t>A.  Objections préliminaires</w:t>
      </w:r>
    </w:p>
    <w:p w:rsidR="000E6E2F" w:rsidRPr="00437336" w:rsidRDefault="000E6E2F" w:rsidP="00437336">
      <w:pPr>
        <w:pStyle w:val="ECHRPara"/>
        <w:rPr>
          <w:rFonts w:eastAsia="Times New Roman"/>
          <w:lang w:val="fr-FR"/>
        </w:rPr>
      </w:pPr>
      <w:r w:rsidRPr="00437336">
        <w:rPr>
          <w:rFonts w:eastAsia="Times New Roman"/>
          <w:lang w:val="fr-FR"/>
        </w:rPr>
        <w:fldChar w:fldCharType="begin"/>
      </w:r>
      <w:r w:rsidRPr="00437336">
        <w:rPr>
          <w:rFonts w:eastAsia="Times New Roman"/>
          <w:lang w:val="fr-FR"/>
        </w:rPr>
        <w:instrText xml:space="preserve"> SEQ level0 \*arabic </w:instrText>
      </w:r>
      <w:r w:rsidRPr="00437336">
        <w:rPr>
          <w:rFonts w:eastAsia="Times New Roman"/>
          <w:lang w:val="fr-FR"/>
        </w:rPr>
        <w:fldChar w:fldCharType="separate"/>
      </w:r>
      <w:r w:rsidR="00C21CB2">
        <w:rPr>
          <w:rFonts w:eastAsia="Times New Roman"/>
          <w:noProof/>
          <w:lang w:val="fr-FR"/>
        </w:rPr>
        <w:t>41</w:t>
      </w:r>
      <w:r w:rsidRPr="00437336">
        <w:rPr>
          <w:rFonts w:eastAsia="Times New Roman"/>
          <w:lang w:val="fr-FR"/>
        </w:rPr>
        <w:fldChar w:fldCharType="end"/>
      </w:r>
      <w:r w:rsidRPr="00437336">
        <w:rPr>
          <w:rFonts w:eastAsia="Times New Roman"/>
          <w:lang w:val="fr-FR"/>
        </w:rPr>
        <w:t>.  Le Gouvernement estime que la requête est irrecevable au motif d</w:t>
      </w:r>
      <w:r w:rsidR="00437336" w:rsidRPr="00437336">
        <w:rPr>
          <w:rFonts w:eastAsia="Times New Roman"/>
          <w:lang w:val="fr-FR"/>
        </w:rPr>
        <w:t>’</w:t>
      </w:r>
      <w:r w:rsidRPr="00437336">
        <w:rPr>
          <w:rFonts w:eastAsia="Times New Roman"/>
          <w:lang w:val="fr-FR"/>
        </w:rPr>
        <w:t>un non-respect, par le requérant, de l</w:t>
      </w:r>
      <w:r w:rsidR="00437336" w:rsidRPr="00437336">
        <w:rPr>
          <w:rFonts w:eastAsia="Times New Roman"/>
          <w:lang w:val="fr-FR"/>
        </w:rPr>
        <w:t>’</w:t>
      </w:r>
      <w:r w:rsidRPr="00437336">
        <w:rPr>
          <w:rFonts w:eastAsia="Times New Roman"/>
          <w:lang w:val="fr-FR"/>
        </w:rPr>
        <w:t>article 47 du règlement de la Cour (« le règlement »), tel que modifié en 2013 et en vigueur depuis janvier 2014.</w:t>
      </w:r>
    </w:p>
    <w:p w:rsidR="000E6E2F" w:rsidRPr="00437336" w:rsidRDefault="000E6E2F" w:rsidP="00437336">
      <w:pPr>
        <w:pStyle w:val="ECHRPara"/>
        <w:rPr>
          <w:rFonts w:eastAsia="Times New Roman"/>
          <w:lang w:val="fr-FR"/>
        </w:rPr>
      </w:pPr>
      <w:r w:rsidRPr="00437336">
        <w:rPr>
          <w:rFonts w:eastAsia="Times New Roman"/>
          <w:lang w:val="fr-FR"/>
        </w:rPr>
        <w:fldChar w:fldCharType="begin"/>
      </w:r>
      <w:r w:rsidRPr="00437336">
        <w:rPr>
          <w:rFonts w:eastAsia="Times New Roman"/>
          <w:lang w:val="fr-FR"/>
        </w:rPr>
        <w:instrText xml:space="preserve"> SEQ level0 \*arabic </w:instrText>
      </w:r>
      <w:r w:rsidRPr="00437336">
        <w:rPr>
          <w:rFonts w:eastAsia="Times New Roman"/>
          <w:lang w:val="fr-FR"/>
        </w:rPr>
        <w:fldChar w:fldCharType="separate"/>
      </w:r>
      <w:r w:rsidR="00C21CB2">
        <w:rPr>
          <w:rFonts w:eastAsia="Times New Roman"/>
          <w:noProof/>
          <w:lang w:val="fr-FR"/>
        </w:rPr>
        <w:t>42</w:t>
      </w:r>
      <w:r w:rsidRPr="00437336">
        <w:rPr>
          <w:rFonts w:eastAsia="Times New Roman"/>
          <w:lang w:val="fr-FR"/>
        </w:rPr>
        <w:fldChar w:fldCharType="end"/>
      </w:r>
      <w:r w:rsidRPr="00437336">
        <w:rPr>
          <w:rFonts w:eastAsia="Times New Roman"/>
          <w:lang w:val="fr-FR"/>
        </w:rPr>
        <w:t>.  Le requérant conteste cette assertion.</w:t>
      </w:r>
    </w:p>
    <w:p w:rsidR="000E6E2F" w:rsidRPr="00437336" w:rsidRDefault="000E6E2F" w:rsidP="00437336">
      <w:pPr>
        <w:pStyle w:val="ECHRPara"/>
        <w:rPr>
          <w:i/>
          <w:lang w:val="fr-FR"/>
        </w:rPr>
      </w:pPr>
      <w:r w:rsidRPr="00437336">
        <w:rPr>
          <w:rFonts w:eastAsia="Times New Roman"/>
          <w:lang w:val="fr-FR"/>
        </w:rPr>
        <w:fldChar w:fldCharType="begin"/>
      </w:r>
      <w:r w:rsidRPr="00437336">
        <w:rPr>
          <w:rFonts w:eastAsia="Times New Roman"/>
          <w:lang w:val="fr-FR"/>
        </w:rPr>
        <w:instrText xml:space="preserve"> SEQ level0 \*arabic </w:instrText>
      </w:r>
      <w:r w:rsidRPr="00437336">
        <w:rPr>
          <w:rFonts w:eastAsia="Times New Roman"/>
          <w:lang w:val="fr-FR"/>
        </w:rPr>
        <w:fldChar w:fldCharType="separate"/>
      </w:r>
      <w:r w:rsidR="00C21CB2">
        <w:rPr>
          <w:rFonts w:eastAsia="Times New Roman"/>
          <w:noProof/>
          <w:lang w:val="fr-FR"/>
        </w:rPr>
        <w:t>43</w:t>
      </w:r>
      <w:r w:rsidRPr="00437336">
        <w:rPr>
          <w:rFonts w:eastAsia="Times New Roman"/>
          <w:lang w:val="fr-FR"/>
        </w:rPr>
        <w:fldChar w:fldCharType="end"/>
      </w:r>
      <w:r w:rsidRPr="00437336">
        <w:rPr>
          <w:rFonts w:eastAsia="Times New Roman"/>
          <w:lang w:val="fr-FR"/>
        </w:rPr>
        <w:t>.  La Cour note que le Gouvernement n</w:t>
      </w:r>
      <w:r w:rsidR="00437336" w:rsidRPr="00437336">
        <w:rPr>
          <w:rFonts w:eastAsia="Times New Roman"/>
          <w:lang w:val="fr-FR"/>
        </w:rPr>
        <w:t>’</w:t>
      </w:r>
      <w:r w:rsidRPr="00437336">
        <w:rPr>
          <w:rFonts w:eastAsia="Times New Roman"/>
          <w:lang w:val="fr-FR"/>
        </w:rPr>
        <w:t>a pas indiqué en quoi le requérant n</w:t>
      </w:r>
      <w:r w:rsidR="00437336" w:rsidRPr="00437336">
        <w:rPr>
          <w:rFonts w:eastAsia="Times New Roman"/>
          <w:lang w:val="fr-FR"/>
        </w:rPr>
        <w:t>’</w:t>
      </w:r>
      <w:r w:rsidRPr="00437336">
        <w:rPr>
          <w:rFonts w:eastAsia="Times New Roman"/>
          <w:lang w:val="fr-FR"/>
        </w:rPr>
        <w:t>aurait pas respecté les instructions énoncées à l</w:t>
      </w:r>
      <w:r w:rsidR="00437336" w:rsidRPr="00437336">
        <w:rPr>
          <w:rFonts w:eastAsia="Times New Roman"/>
          <w:lang w:val="fr-FR"/>
        </w:rPr>
        <w:t>’</w:t>
      </w:r>
      <w:r w:rsidRPr="00437336">
        <w:rPr>
          <w:rFonts w:eastAsia="Times New Roman"/>
          <w:lang w:val="fr-FR"/>
        </w:rPr>
        <w:t>article 47 du règlement. Elle rappelle également que les conditions plus strictes pour l</w:t>
      </w:r>
      <w:r w:rsidR="00437336" w:rsidRPr="00437336">
        <w:rPr>
          <w:rFonts w:eastAsia="Times New Roman"/>
          <w:lang w:val="fr-FR"/>
        </w:rPr>
        <w:t>’</w:t>
      </w:r>
      <w:r w:rsidRPr="00437336">
        <w:rPr>
          <w:rFonts w:eastAsia="Times New Roman"/>
          <w:lang w:val="fr-FR"/>
        </w:rPr>
        <w:t>introduction d</w:t>
      </w:r>
      <w:r w:rsidR="00437336" w:rsidRPr="00437336">
        <w:rPr>
          <w:rFonts w:eastAsia="Times New Roman"/>
          <w:lang w:val="fr-FR"/>
        </w:rPr>
        <w:t>’</w:t>
      </w:r>
      <w:r w:rsidRPr="00437336">
        <w:rPr>
          <w:rFonts w:eastAsia="Times New Roman"/>
          <w:lang w:val="fr-FR"/>
        </w:rPr>
        <w:t>une requête ne sont exigées qu</w:t>
      </w:r>
      <w:r w:rsidR="00437336" w:rsidRPr="00437336">
        <w:rPr>
          <w:rFonts w:eastAsia="Times New Roman"/>
          <w:lang w:val="fr-FR"/>
        </w:rPr>
        <w:t>’</w:t>
      </w:r>
      <w:r w:rsidRPr="00437336">
        <w:rPr>
          <w:rFonts w:eastAsia="Times New Roman"/>
          <w:lang w:val="fr-FR"/>
        </w:rPr>
        <w:t>à partir du 1</w:t>
      </w:r>
      <w:r w:rsidRPr="00437336">
        <w:rPr>
          <w:rFonts w:eastAsia="Times New Roman"/>
          <w:vertAlign w:val="superscript"/>
          <w:lang w:val="fr-FR"/>
        </w:rPr>
        <w:t>er</w:t>
      </w:r>
      <w:r w:rsidRPr="00437336">
        <w:rPr>
          <w:rFonts w:eastAsia="Times New Roman"/>
          <w:lang w:val="fr-FR"/>
        </w:rPr>
        <w:t xml:space="preserve"> janvier 2014 par le nouvel article 47 de son règlement. En l</w:t>
      </w:r>
      <w:r w:rsidR="00437336" w:rsidRPr="00437336">
        <w:rPr>
          <w:rFonts w:eastAsia="Times New Roman"/>
          <w:lang w:val="fr-FR"/>
        </w:rPr>
        <w:t>’</w:t>
      </w:r>
      <w:r w:rsidRPr="00437336">
        <w:rPr>
          <w:rFonts w:eastAsia="Times New Roman"/>
          <w:lang w:val="fr-FR"/>
        </w:rPr>
        <w:t xml:space="preserve">espèce, elle constate que la requête a été introduite le </w:t>
      </w:r>
      <w:r w:rsidR="003F4DC5" w:rsidRPr="00437336">
        <w:rPr>
          <w:rFonts w:eastAsia="Times New Roman"/>
          <w:lang w:val="fr-FR"/>
        </w:rPr>
        <w:t>26 juin 2010</w:t>
      </w:r>
      <w:r w:rsidRPr="00437336">
        <w:rPr>
          <w:rFonts w:eastAsia="Times New Roman"/>
          <w:lang w:val="fr-FR"/>
        </w:rPr>
        <w:t xml:space="preserve"> et que, par conséquent, il n</w:t>
      </w:r>
      <w:r w:rsidR="00437336" w:rsidRPr="00437336">
        <w:rPr>
          <w:rFonts w:eastAsia="Times New Roman"/>
          <w:lang w:val="fr-FR"/>
        </w:rPr>
        <w:t>’</w:t>
      </w:r>
      <w:r w:rsidRPr="00437336">
        <w:rPr>
          <w:rFonts w:eastAsia="Times New Roman"/>
          <w:lang w:val="fr-FR"/>
        </w:rPr>
        <w:t>y a aucune raison de considérer que le requérant n</w:t>
      </w:r>
      <w:r w:rsidR="00437336" w:rsidRPr="00437336">
        <w:rPr>
          <w:rFonts w:eastAsia="Times New Roman"/>
          <w:lang w:val="fr-FR"/>
        </w:rPr>
        <w:t>’</w:t>
      </w:r>
      <w:r w:rsidRPr="00437336">
        <w:rPr>
          <w:rFonts w:eastAsia="Times New Roman"/>
          <w:lang w:val="fr-FR"/>
        </w:rPr>
        <w:t>a pas respecté les conditions requises par l</w:t>
      </w:r>
      <w:r w:rsidR="00437336" w:rsidRPr="00437336">
        <w:rPr>
          <w:rFonts w:eastAsia="Times New Roman"/>
          <w:lang w:val="fr-FR"/>
        </w:rPr>
        <w:t>’</w:t>
      </w:r>
      <w:r w:rsidRPr="00437336">
        <w:rPr>
          <w:rFonts w:eastAsia="Times New Roman"/>
          <w:lang w:val="fr-FR"/>
        </w:rPr>
        <w:t>article 47 tel qu</w:t>
      </w:r>
      <w:r w:rsidR="00437336" w:rsidRPr="00437336">
        <w:rPr>
          <w:rFonts w:eastAsia="Times New Roman"/>
          <w:lang w:val="fr-FR"/>
        </w:rPr>
        <w:t>’</w:t>
      </w:r>
      <w:r w:rsidRPr="00437336">
        <w:rPr>
          <w:rFonts w:eastAsia="Times New Roman"/>
          <w:lang w:val="fr-FR"/>
        </w:rPr>
        <w:t>en vigueur à l</w:t>
      </w:r>
      <w:r w:rsidR="00437336" w:rsidRPr="00437336">
        <w:rPr>
          <w:rFonts w:eastAsia="Times New Roman"/>
          <w:lang w:val="fr-FR"/>
        </w:rPr>
        <w:t>’</w:t>
      </w:r>
      <w:r w:rsidRPr="00437336">
        <w:rPr>
          <w:rFonts w:eastAsia="Times New Roman"/>
          <w:lang w:val="fr-FR"/>
        </w:rPr>
        <w:t>époque des faits (</w:t>
      </w:r>
      <w:r w:rsidRPr="00437336">
        <w:rPr>
          <w:rFonts w:eastAsia="Times New Roman"/>
          <w:i/>
          <w:iCs/>
          <w:lang w:val="fr-FR"/>
        </w:rPr>
        <w:t>Oliari et autres c. Italie</w:t>
      </w:r>
      <w:r w:rsidRPr="00437336">
        <w:rPr>
          <w:rFonts w:eastAsia="Times New Roman"/>
          <w:lang w:val="fr-FR"/>
        </w:rPr>
        <w:t>, n</w:t>
      </w:r>
      <w:r w:rsidRPr="00437336">
        <w:rPr>
          <w:rFonts w:eastAsia="Times New Roman"/>
          <w:vertAlign w:val="superscript"/>
          <w:lang w:val="fr-FR"/>
        </w:rPr>
        <w:t>os</w:t>
      </w:r>
      <w:r w:rsidRPr="00437336">
        <w:rPr>
          <w:rFonts w:eastAsia="Times New Roman"/>
          <w:lang w:val="fr-FR"/>
        </w:rPr>
        <w:t xml:space="preserve"> 18766/11 et 36030/11, §§ 67-68, 21 juillet 2015, et </w:t>
      </w:r>
      <w:r w:rsidRPr="00437336">
        <w:rPr>
          <w:i/>
          <w:lang w:val="fr-FR"/>
        </w:rPr>
        <w:t>Bondavalli c. Italie</w:t>
      </w:r>
      <w:r w:rsidRPr="00437336">
        <w:rPr>
          <w:lang w:val="fr-FR"/>
        </w:rPr>
        <w:t>, n</w:t>
      </w:r>
      <w:r w:rsidRPr="00437336">
        <w:rPr>
          <w:vertAlign w:val="superscript"/>
          <w:lang w:val="fr-FR"/>
        </w:rPr>
        <w:t>o</w:t>
      </w:r>
      <w:r w:rsidRPr="00437336">
        <w:rPr>
          <w:lang w:val="fr-FR"/>
        </w:rPr>
        <w:t xml:space="preserve"> 35532/12</w:t>
      </w:r>
      <w:r w:rsidRPr="00437336">
        <w:rPr>
          <w:snapToGrid w:val="0"/>
          <w:lang w:val="fr-FR"/>
        </w:rPr>
        <w:t xml:space="preserve">, § 52, 17 </w:t>
      </w:r>
      <w:r w:rsidRPr="00437336">
        <w:rPr>
          <w:lang w:val="fr-FR"/>
        </w:rPr>
        <w:t>novembre</w:t>
      </w:r>
      <w:r w:rsidRPr="00437336">
        <w:rPr>
          <w:snapToGrid w:val="0"/>
          <w:lang w:val="fr-FR"/>
        </w:rPr>
        <w:t xml:space="preserve"> 2015</w:t>
      </w:r>
      <w:r w:rsidRPr="00437336">
        <w:rPr>
          <w:rFonts w:eastAsia="Times New Roman"/>
          <w:lang w:val="fr-FR"/>
        </w:rPr>
        <w:t>).</w:t>
      </w:r>
    </w:p>
    <w:p w:rsidR="000E6E2F" w:rsidRPr="00437336" w:rsidRDefault="000E6E2F" w:rsidP="00437336">
      <w:pPr>
        <w:pStyle w:val="ECHRPara"/>
        <w:rPr>
          <w:rFonts w:eastAsia="Times New Roman"/>
          <w:lang w:val="fr-FR"/>
        </w:rPr>
      </w:pPr>
      <w:r w:rsidRPr="00437336">
        <w:rPr>
          <w:rFonts w:eastAsia="Times New Roman"/>
          <w:lang w:val="fr-FR"/>
        </w:rPr>
        <w:fldChar w:fldCharType="begin"/>
      </w:r>
      <w:r w:rsidRPr="00437336">
        <w:rPr>
          <w:rFonts w:eastAsia="Times New Roman"/>
          <w:lang w:val="fr-FR"/>
        </w:rPr>
        <w:instrText xml:space="preserve"> SEQ level0 \*arabic </w:instrText>
      </w:r>
      <w:r w:rsidRPr="00437336">
        <w:rPr>
          <w:rFonts w:eastAsia="Times New Roman"/>
          <w:lang w:val="fr-FR"/>
        </w:rPr>
        <w:fldChar w:fldCharType="separate"/>
      </w:r>
      <w:r w:rsidR="00C21CB2">
        <w:rPr>
          <w:rFonts w:eastAsia="Times New Roman"/>
          <w:noProof/>
          <w:lang w:val="fr-FR"/>
        </w:rPr>
        <w:t>44</w:t>
      </w:r>
      <w:r w:rsidRPr="00437336">
        <w:rPr>
          <w:rFonts w:eastAsia="Times New Roman"/>
          <w:lang w:val="fr-FR"/>
        </w:rPr>
        <w:fldChar w:fldCharType="end"/>
      </w:r>
      <w:r w:rsidRPr="00437336">
        <w:rPr>
          <w:rFonts w:eastAsia="Times New Roman"/>
          <w:lang w:val="fr-FR"/>
        </w:rPr>
        <w:t>.  Partant, il convient de ne pas tenir compte des arguments du Gouvernement sur ce point.</w:t>
      </w:r>
    </w:p>
    <w:p w:rsidR="00E77CB3" w:rsidRPr="00437336" w:rsidRDefault="000E6E2F" w:rsidP="00437336">
      <w:pPr>
        <w:pStyle w:val="ECHRHeading2"/>
        <w:rPr>
          <w:lang w:val="fr-FR"/>
        </w:rPr>
      </w:pPr>
      <w:r w:rsidRPr="00437336">
        <w:rPr>
          <w:lang w:val="fr-FR"/>
        </w:rPr>
        <w:lastRenderedPageBreak/>
        <w:t>B</w:t>
      </w:r>
      <w:r w:rsidR="00E77CB3" w:rsidRPr="00437336">
        <w:rPr>
          <w:lang w:val="fr-FR"/>
        </w:rPr>
        <w:t>.  Sur la recevabilité</w:t>
      </w:r>
    </w:p>
    <w:p w:rsidR="0026209D" w:rsidRPr="00437336" w:rsidRDefault="0026209D" w:rsidP="00437336">
      <w:pPr>
        <w:pStyle w:val="ECHRHeading3"/>
        <w:rPr>
          <w:lang w:val="fr-FR"/>
        </w:rPr>
      </w:pPr>
      <w:r w:rsidRPr="00437336">
        <w:rPr>
          <w:lang w:val="fr-FR"/>
        </w:rPr>
        <w:t>1.  Exception préliminaire tirée du non-épuisement des voies de recours internes</w:t>
      </w:r>
    </w:p>
    <w:p w:rsidR="000E6E2F" w:rsidRPr="00437336" w:rsidRDefault="000E6E2F"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45</w:t>
      </w:r>
      <w:r w:rsidRPr="00437336">
        <w:rPr>
          <w:lang w:val="fr-FR"/>
        </w:rPr>
        <w:fldChar w:fldCharType="end"/>
      </w:r>
      <w:r w:rsidRPr="00437336">
        <w:rPr>
          <w:lang w:val="fr-FR"/>
        </w:rPr>
        <w:t>.  </w:t>
      </w:r>
      <w:r w:rsidRPr="00437336">
        <w:rPr>
          <w:rFonts w:ascii="Times New Roman" w:hAnsi="Times New Roman" w:cs="Times New Roman"/>
          <w:color w:val="000000"/>
          <w:lang w:val="fr-FR"/>
        </w:rPr>
        <w:t>Le Gouvernement excipe du non-épuisement des voies de recours internes, considérant que</w:t>
      </w:r>
      <w:r w:rsidRPr="00437336">
        <w:rPr>
          <w:lang w:val="fr-FR"/>
        </w:rPr>
        <w:t xml:space="preserve"> le requérant aurait dû se pourvoir en cassation contre la décision de la </w:t>
      </w:r>
      <w:r w:rsidR="0026209D" w:rsidRPr="00437336">
        <w:rPr>
          <w:lang w:val="fr-FR"/>
        </w:rPr>
        <w:t>cour d</w:t>
      </w:r>
      <w:r w:rsidR="00437336" w:rsidRPr="00437336">
        <w:rPr>
          <w:lang w:val="fr-FR"/>
        </w:rPr>
        <w:t>’</w:t>
      </w:r>
      <w:r w:rsidR="0026209D" w:rsidRPr="00437336">
        <w:rPr>
          <w:lang w:val="fr-FR"/>
        </w:rPr>
        <w:t>appel du 6 juillet 2012 autorisant C.M. à déménager à Turin avec l</w:t>
      </w:r>
      <w:r w:rsidR="00437336" w:rsidRPr="00437336">
        <w:rPr>
          <w:lang w:val="fr-FR"/>
        </w:rPr>
        <w:t>’</w:t>
      </w:r>
      <w:r w:rsidR="0026209D" w:rsidRPr="00437336">
        <w:rPr>
          <w:lang w:val="fr-FR"/>
        </w:rPr>
        <w:t>enfant.</w:t>
      </w:r>
    </w:p>
    <w:p w:rsidR="000E6E2F" w:rsidRPr="00437336" w:rsidRDefault="000500DB"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46</w:t>
      </w:r>
      <w:r w:rsidRPr="00437336">
        <w:rPr>
          <w:lang w:val="fr-FR"/>
        </w:rPr>
        <w:fldChar w:fldCharType="end"/>
      </w:r>
      <w:r w:rsidRPr="00437336">
        <w:rPr>
          <w:lang w:val="fr-FR"/>
        </w:rPr>
        <w:t>.  </w:t>
      </w:r>
      <w:r w:rsidR="00D260E4" w:rsidRPr="00437336">
        <w:rPr>
          <w:lang w:val="fr-FR"/>
        </w:rPr>
        <w:t>Le</w:t>
      </w:r>
      <w:r w:rsidR="00E5221D" w:rsidRPr="00437336">
        <w:rPr>
          <w:lang w:val="fr-FR"/>
        </w:rPr>
        <w:t xml:space="preserve"> requérant s</w:t>
      </w:r>
      <w:r w:rsidR="00437336" w:rsidRPr="00437336">
        <w:rPr>
          <w:lang w:val="fr-FR"/>
        </w:rPr>
        <w:t>’</w:t>
      </w:r>
      <w:r w:rsidR="00E5221D" w:rsidRPr="00437336">
        <w:rPr>
          <w:lang w:val="fr-FR"/>
        </w:rPr>
        <w:t>oppos</w:t>
      </w:r>
      <w:r w:rsidR="00D260E4" w:rsidRPr="00437336">
        <w:rPr>
          <w:lang w:val="fr-FR"/>
        </w:rPr>
        <w:t xml:space="preserve">e aux arguments du Gouvernement et il fait valoir, en particulier, que le </w:t>
      </w:r>
      <w:r w:rsidR="009D28BD" w:rsidRPr="00437336">
        <w:rPr>
          <w:lang w:val="fr-FR"/>
        </w:rPr>
        <w:t xml:space="preserve">pourvoi </w:t>
      </w:r>
      <w:r w:rsidR="00D260E4" w:rsidRPr="00437336">
        <w:rPr>
          <w:lang w:val="fr-FR"/>
        </w:rPr>
        <w:t>en cassation n</w:t>
      </w:r>
      <w:r w:rsidR="00437336" w:rsidRPr="00437336">
        <w:rPr>
          <w:lang w:val="fr-FR"/>
        </w:rPr>
        <w:t>’</w:t>
      </w:r>
      <w:r w:rsidR="00D260E4" w:rsidRPr="00437336">
        <w:rPr>
          <w:lang w:val="fr-FR"/>
        </w:rPr>
        <w:t>était pas un</w:t>
      </w:r>
      <w:r w:rsidR="00D668C6" w:rsidRPr="00437336">
        <w:rPr>
          <w:lang w:val="fr-FR"/>
        </w:rPr>
        <w:t xml:space="preserve"> recours à épuiser au motif que</w:t>
      </w:r>
      <w:r w:rsidR="00D260E4" w:rsidRPr="00437336">
        <w:rPr>
          <w:lang w:val="fr-FR"/>
        </w:rPr>
        <w:t xml:space="preserve"> la jurispru</w:t>
      </w:r>
      <w:r w:rsidR="00D668C6" w:rsidRPr="00437336">
        <w:rPr>
          <w:lang w:val="fr-FR"/>
        </w:rPr>
        <w:t xml:space="preserve">dence </w:t>
      </w:r>
      <w:r w:rsidR="00D260E4" w:rsidRPr="00437336">
        <w:rPr>
          <w:lang w:val="fr-FR"/>
        </w:rPr>
        <w:t xml:space="preserve">était divisée sur le point de savoir </w:t>
      </w:r>
      <w:r w:rsidR="001E2737" w:rsidRPr="00437336">
        <w:rPr>
          <w:lang w:val="fr-FR"/>
        </w:rPr>
        <w:t>s</w:t>
      </w:r>
      <w:r w:rsidR="00437336" w:rsidRPr="00437336">
        <w:rPr>
          <w:lang w:val="fr-FR"/>
        </w:rPr>
        <w:t>’</w:t>
      </w:r>
      <w:r w:rsidR="00D260E4" w:rsidRPr="00437336">
        <w:rPr>
          <w:lang w:val="fr-FR"/>
        </w:rPr>
        <w:t>il était possible de se pourvoir en cassa</w:t>
      </w:r>
      <w:r w:rsidR="00D668C6" w:rsidRPr="00437336">
        <w:rPr>
          <w:lang w:val="fr-FR"/>
        </w:rPr>
        <w:t>tion contre une décision de la c</w:t>
      </w:r>
      <w:r w:rsidR="00D260E4" w:rsidRPr="00437336">
        <w:rPr>
          <w:lang w:val="fr-FR"/>
        </w:rPr>
        <w:t>our d</w:t>
      </w:r>
      <w:r w:rsidR="00437336" w:rsidRPr="00437336">
        <w:rPr>
          <w:lang w:val="fr-FR"/>
        </w:rPr>
        <w:t>’</w:t>
      </w:r>
      <w:r w:rsidR="00D260E4" w:rsidRPr="00437336">
        <w:rPr>
          <w:lang w:val="fr-FR"/>
        </w:rPr>
        <w:t xml:space="preserve">appel </w:t>
      </w:r>
      <w:r w:rsidR="001E2737" w:rsidRPr="00437336">
        <w:rPr>
          <w:lang w:val="fr-FR"/>
        </w:rPr>
        <w:t>selon l</w:t>
      </w:r>
      <w:r w:rsidR="00437336" w:rsidRPr="00437336">
        <w:rPr>
          <w:lang w:val="fr-FR"/>
        </w:rPr>
        <w:t>’</w:t>
      </w:r>
      <w:r w:rsidR="00D260E4" w:rsidRPr="00437336">
        <w:rPr>
          <w:lang w:val="fr-FR"/>
        </w:rPr>
        <w:t>article 317 bis du code civil. De toute manière le requérant rappelle qu</w:t>
      </w:r>
      <w:r w:rsidR="00437336" w:rsidRPr="00437336">
        <w:rPr>
          <w:lang w:val="fr-FR"/>
        </w:rPr>
        <w:t>’</w:t>
      </w:r>
      <w:r w:rsidR="00D260E4" w:rsidRPr="00437336">
        <w:rPr>
          <w:lang w:val="fr-FR"/>
        </w:rPr>
        <w:t>il se plaint de l</w:t>
      </w:r>
      <w:r w:rsidR="00437336" w:rsidRPr="00437336">
        <w:rPr>
          <w:lang w:val="fr-FR"/>
        </w:rPr>
        <w:t>’</w:t>
      </w:r>
      <w:r w:rsidR="00D260E4" w:rsidRPr="00437336">
        <w:rPr>
          <w:lang w:val="fr-FR"/>
        </w:rPr>
        <w:t xml:space="preserve">impossibilité </w:t>
      </w:r>
      <w:r w:rsidR="001E2737" w:rsidRPr="00437336">
        <w:rPr>
          <w:lang w:val="fr-FR"/>
        </w:rPr>
        <w:t>d</w:t>
      </w:r>
      <w:r w:rsidR="00437336" w:rsidRPr="00437336">
        <w:rPr>
          <w:lang w:val="fr-FR"/>
        </w:rPr>
        <w:t>’</w:t>
      </w:r>
      <w:r w:rsidR="001E2737" w:rsidRPr="00437336">
        <w:rPr>
          <w:lang w:val="fr-FR"/>
        </w:rPr>
        <w:t>avoir de</w:t>
      </w:r>
      <w:r w:rsidR="00533423" w:rsidRPr="00437336">
        <w:rPr>
          <w:lang w:val="fr-FR"/>
        </w:rPr>
        <w:t>s</w:t>
      </w:r>
      <w:r w:rsidR="001E2737" w:rsidRPr="00437336">
        <w:rPr>
          <w:lang w:val="fr-FR"/>
        </w:rPr>
        <w:t xml:space="preserve"> contacts avec son fils depuis</w:t>
      </w:r>
      <w:r w:rsidR="00D668C6" w:rsidRPr="00437336">
        <w:rPr>
          <w:lang w:val="fr-FR"/>
        </w:rPr>
        <w:t xml:space="preserve"> 2006 et </w:t>
      </w:r>
      <w:r w:rsidR="0026209D" w:rsidRPr="00437336">
        <w:rPr>
          <w:lang w:val="fr-FR"/>
        </w:rPr>
        <w:t>que le pourvoi en cassation n</w:t>
      </w:r>
      <w:r w:rsidR="00437336" w:rsidRPr="00437336">
        <w:rPr>
          <w:lang w:val="fr-FR"/>
        </w:rPr>
        <w:t>’</w:t>
      </w:r>
      <w:r w:rsidR="0026209D" w:rsidRPr="00437336">
        <w:rPr>
          <w:lang w:val="fr-FR"/>
        </w:rPr>
        <w:t>aurait pas eu d</w:t>
      </w:r>
      <w:r w:rsidR="00437336" w:rsidRPr="00437336">
        <w:rPr>
          <w:lang w:val="fr-FR"/>
        </w:rPr>
        <w:t>’</w:t>
      </w:r>
      <w:r w:rsidR="0026209D" w:rsidRPr="00437336">
        <w:rPr>
          <w:lang w:val="fr-FR"/>
        </w:rPr>
        <w:t>incidence</w:t>
      </w:r>
      <w:r w:rsidR="00D668C6" w:rsidRPr="00437336">
        <w:rPr>
          <w:lang w:val="fr-FR"/>
        </w:rPr>
        <w:t xml:space="preserve"> sur l</w:t>
      </w:r>
      <w:r w:rsidR="00437336" w:rsidRPr="00437336">
        <w:rPr>
          <w:lang w:val="fr-FR"/>
        </w:rPr>
        <w:t>’</w:t>
      </w:r>
      <w:r w:rsidR="00D668C6" w:rsidRPr="00437336">
        <w:rPr>
          <w:lang w:val="fr-FR"/>
        </w:rPr>
        <w:t>exercice de son droit de visite.</w:t>
      </w:r>
    </w:p>
    <w:p w:rsidR="001E2737" w:rsidRPr="00437336" w:rsidRDefault="0026209D" w:rsidP="00437336">
      <w:pPr>
        <w:pStyle w:val="ECHRPara"/>
        <w:rPr>
          <w:snapToGrid w:val="0"/>
          <w:lang w:val="fr-FR"/>
        </w:rPr>
      </w:pPr>
      <w:r w:rsidRPr="00437336">
        <w:rPr>
          <w:rFonts w:eastAsiaTheme="minorHAnsi"/>
          <w:lang w:val="fr-FR"/>
        </w:rPr>
        <w:fldChar w:fldCharType="begin"/>
      </w:r>
      <w:r w:rsidRPr="00437336">
        <w:rPr>
          <w:rFonts w:eastAsiaTheme="minorHAnsi"/>
          <w:lang w:val="fr-FR"/>
        </w:rPr>
        <w:instrText xml:space="preserve"> SEQ level0 \*arabic </w:instrText>
      </w:r>
      <w:r w:rsidRPr="00437336">
        <w:rPr>
          <w:rFonts w:eastAsiaTheme="minorHAnsi"/>
          <w:lang w:val="fr-FR"/>
        </w:rPr>
        <w:fldChar w:fldCharType="separate"/>
      </w:r>
      <w:r w:rsidR="00C21CB2">
        <w:rPr>
          <w:rFonts w:eastAsiaTheme="minorHAnsi"/>
          <w:noProof/>
          <w:lang w:val="fr-FR"/>
        </w:rPr>
        <w:t>47</w:t>
      </w:r>
      <w:r w:rsidRPr="00437336">
        <w:rPr>
          <w:rFonts w:eastAsiaTheme="minorHAnsi"/>
          <w:lang w:val="fr-FR"/>
        </w:rPr>
        <w:fldChar w:fldCharType="end"/>
      </w:r>
      <w:r w:rsidRPr="00437336">
        <w:rPr>
          <w:rFonts w:eastAsiaTheme="minorHAnsi"/>
          <w:lang w:val="fr-FR"/>
        </w:rPr>
        <w:t xml:space="preserve">.  La Cour note tout </w:t>
      </w:r>
      <w:r w:rsidR="0078534A" w:rsidRPr="00437336">
        <w:rPr>
          <w:rFonts w:eastAsiaTheme="minorHAnsi"/>
          <w:lang w:val="fr-FR"/>
        </w:rPr>
        <w:t>d</w:t>
      </w:r>
      <w:r w:rsidR="00437336" w:rsidRPr="00437336">
        <w:rPr>
          <w:rFonts w:eastAsiaTheme="minorHAnsi"/>
          <w:lang w:val="fr-FR"/>
        </w:rPr>
        <w:t>’</w:t>
      </w:r>
      <w:r w:rsidR="0078534A" w:rsidRPr="00437336">
        <w:rPr>
          <w:rFonts w:eastAsiaTheme="minorHAnsi"/>
          <w:lang w:val="fr-FR"/>
        </w:rPr>
        <w:t>abord</w:t>
      </w:r>
      <w:r w:rsidRPr="00437336">
        <w:rPr>
          <w:rFonts w:eastAsiaTheme="minorHAnsi"/>
          <w:lang w:val="fr-FR"/>
        </w:rPr>
        <w:t xml:space="preserve"> que les griefs du requérant portent sur la question de la mise en œuvre du droit de visite selon les modalités fix</w:t>
      </w:r>
      <w:r w:rsidR="001E2737" w:rsidRPr="00437336">
        <w:rPr>
          <w:rFonts w:eastAsiaTheme="minorHAnsi"/>
          <w:lang w:val="fr-FR"/>
        </w:rPr>
        <w:t>ées par plusieurs décisions et l</w:t>
      </w:r>
      <w:r w:rsidR="00437336" w:rsidRPr="00437336">
        <w:rPr>
          <w:rFonts w:eastAsiaTheme="minorHAnsi"/>
          <w:lang w:val="fr-FR"/>
        </w:rPr>
        <w:t>’</w:t>
      </w:r>
      <w:r w:rsidRPr="00437336">
        <w:rPr>
          <w:rFonts w:eastAsiaTheme="minorHAnsi"/>
          <w:lang w:val="fr-FR"/>
        </w:rPr>
        <w:t>inertie alléguée des autorités face au comportement de C.M. Ensuite, la Cour rappelle que les décisions du tribunal pour enfants portant notamment sur le droit de visite ne revêtent pas un caractère définitif et qu</w:t>
      </w:r>
      <w:r w:rsidR="00437336" w:rsidRPr="00437336">
        <w:rPr>
          <w:rFonts w:eastAsiaTheme="minorHAnsi"/>
          <w:vanish/>
          <w:lang w:val="fr-FR"/>
        </w:rPr>
        <w:t>’</w:t>
      </w:r>
      <w:r w:rsidRPr="00437336">
        <w:rPr>
          <w:rFonts w:eastAsiaTheme="minorHAnsi"/>
          <w:lang w:val="fr-FR"/>
        </w:rPr>
        <w:t>elles peuvent, dès lors, être modifiées à tout moment en fonction des événements liés à la situation en cause</w:t>
      </w:r>
      <w:r w:rsidR="00D668C6" w:rsidRPr="00437336">
        <w:rPr>
          <w:rFonts w:eastAsiaTheme="minorHAnsi"/>
          <w:lang w:val="fr-FR"/>
        </w:rPr>
        <w:t>. Ainsi, l</w:t>
      </w:r>
      <w:r w:rsidR="00437336" w:rsidRPr="00437336">
        <w:rPr>
          <w:rFonts w:eastAsiaTheme="minorHAnsi"/>
          <w:lang w:val="fr-FR"/>
        </w:rPr>
        <w:t>’</w:t>
      </w:r>
      <w:r w:rsidR="00D668C6" w:rsidRPr="00437336">
        <w:rPr>
          <w:rFonts w:eastAsiaTheme="minorHAnsi"/>
          <w:lang w:val="fr-FR"/>
        </w:rPr>
        <w:t>é</w:t>
      </w:r>
      <w:r w:rsidRPr="00437336">
        <w:rPr>
          <w:rFonts w:eastAsiaTheme="minorHAnsi"/>
          <w:lang w:val="fr-FR"/>
        </w:rPr>
        <w:t xml:space="preserve">volution de la procédure interne est la conséquence du caractère non définitif des décisions du tribunal pour enfants portant sur le droit de visite. Par ailleurs, la Cour note </w:t>
      </w:r>
      <w:r w:rsidR="00D668C6" w:rsidRPr="00437336">
        <w:rPr>
          <w:rFonts w:eastAsiaTheme="minorHAnsi"/>
          <w:lang w:val="fr-FR"/>
        </w:rPr>
        <w:t>en l</w:t>
      </w:r>
      <w:r w:rsidR="00437336" w:rsidRPr="00437336">
        <w:rPr>
          <w:rFonts w:eastAsiaTheme="minorHAnsi"/>
          <w:lang w:val="fr-FR"/>
        </w:rPr>
        <w:t>’</w:t>
      </w:r>
      <w:r w:rsidR="00D668C6" w:rsidRPr="00437336">
        <w:rPr>
          <w:rFonts w:eastAsiaTheme="minorHAnsi"/>
          <w:lang w:val="fr-FR"/>
        </w:rPr>
        <w:t>espèce</w:t>
      </w:r>
      <w:r w:rsidRPr="00437336">
        <w:rPr>
          <w:rFonts w:eastAsiaTheme="minorHAnsi"/>
          <w:lang w:val="fr-FR"/>
        </w:rPr>
        <w:t xml:space="preserve"> que le requérant </w:t>
      </w:r>
      <w:r w:rsidR="00D668C6" w:rsidRPr="00437336">
        <w:rPr>
          <w:rFonts w:eastAsiaTheme="minorHAnsi"/>
          <w:lang w:val="fr-FR"/>
        </w:rPr>
        <w:t>n</w:t>
      </w:r>
      <w:r w:rsidR="00437336" w:rsidRPr="00437336">
        <w:rPr>
          <w:rFonts w:eastAsiaTheme="minorHAnsi"/>
          <w:lang w:val="fr-FR"/>
        </w:rPr>
        <w:t>’</w:t>
      </w:r>
      <w:r w:rsidR="00D668C6" w:rsidRPr="00437336">
        <w:rPr>
          <w:rFonts w:eastAsiaTheme="minorHAnsi"/>
          <w:lang w:val="fr-FR"/>
        </w:rPr>
        <w:t>a pas été en mesure d</w:t>
      </w:r>
      <w:r w:rsidR="00437336" w:rsidRPr="00437336">
        <w:rPr>
          <w:rFonts w:eastAsiaTheme="minorHAnsi"/>
          <w:lang w:val="fr-FR"/>
        </w:rPr>
        <w:t>’</w:t>
      </w:r>
      <w:r w:rsidR="00D668C6" w:rsidRPr="00437336">
        <w:rPr>
          <w:rFonts w:eastAsiaTheme="minorHAnsi"/>
          <w:lang w:val="fr-FR"/>
        </w:rPr>
        <w:t>exercer</w:t>
      </w:r>
      <w:r w:rsidRPr="00437336">
        <w:rPr>
          <w:rFonts w:eastAsiaTheme="minorHAnsi"/>
          <w:lang w:val="fr-FR"/>
        </w:rPr>
        <w:t xml:space="preserve"> pleinement son droit de visite depuis 2006 et qu</w:t>
      </w:r>
      <w:r w:rsidR="00437336" w:rsidRPr="00437336">
        <w:rPr>
          <w:rFonts w:eastAsiaTheme="minorHAnsi"/>
          <w:lang w:val="fr-FR"/>
        </w:rPr>
        <w:t>’</w:t>
      </w:r>
      <w:r w:rsidRPr="00437336">
        <w:rPr>
          <w:rFonts w:eastAsiaTheme="minorHAnsi"/>
          <w:lang w:val="fr-FR"/>
        </w:rPr>
        <w:t xml:space="preserve">il a introduit sa requête devant elle le 26 juin 2010 après avoir saisi à plusieurs reprises le tribunal pour enfants qui </w:t>
      </w:r>
      <w:r w:rsidR="00D668C6" w:rsidRPr="00437336">
        <w:rPr>
          <w:rFonts w:eastAsiaTheme="minorHAnsi"/>
          <w:lang w:val="fr-FR"/>
        </w:rPr>
        <w:t>s</w:t>
      </w:r>
      <w:r w:rsidR="00437336" w:rsidRPr="00437336">
        <w:rPr>
          <w:rFonts w:eastAsiaTheme="minorHAnsi"/>
          <w:lang w:val="fr-FR"/>
        </w:rPr>
        <w:t>’</w:t>
      </w:r>
      <w:r w:rsidR="00D668C6" w:rsidRPr="00437336">
        <w:rPr>
          <w:rFonts w:eastAsiaTheme="minorHAnsi"/>
          <w:lang w:val="fr-FR"/>
        </w:rPr>
        <w:t>était</w:t>
      </w:r>
      <w:r w:rsidRPr="00437336">
        <w:rPr>
          <w:rFonts w:eastAsiaTheme="minorHAnsi"/>
          <w:lang w:val="fr-FR"/>
        </w:rPr>
        <w:t xml:space="preserve"> prononcé sur son droit. Elle observe que le requérant avait à sa disposition cette voie de recours interne pour se plaindre de l</w:t>
      </w:r>
      <w:r w:rsidR="00437336" w:rsidRPr="00437336">
        <w:rPr>
          <w:rFonts w:eastAsiaTheme="minorHAnsi"/>
          <w:lang w:val="fr-FR"/>
        </w:rPr>
        <w:t>’</w:t>
      </w:r>
      <w:r w:rsidRPr="00437336">
        <w:rPr>
          <w:rFonts w:eastAsiaTheme="minorHAnsi"/>
          <w:lang w:val="fr-FR"/>
        </w:rPr>
        <w:t>interruption des contacts avec son fils (</w:t>
      </w:r>
      <w:r w:rsidR="001E2737" w:rsidRPr="00437336">
        <w:rPr>
          <w:i/>
          <w:lang w:val="fr-FR"/>
        </w:rPr>
        <w:t>Lombardo c. Italie</w:t>
      </w:r>
      <w:r w:rsidR="001E2737" w:rsidRPr="00437336">
        <w:rPr>
          <w:lang w:val="fr-FR"/>
        </w:rPr>
        <w:t>, n</w:t>
      </w:r>
      <w:r w:rsidR="001E2737" w:rsidRPr="00437336">
        <w:rPr>
          <w:vertAlign w:val="superscript"/>
          <w:lang w:val="fr-FR"/>
        </w:rPr>
        <w:t>o</w:t>
      </w:r>
      <w:r w:rsidR="001E2737" w:rsidRPr="00437336">
        <w:rPr>
          <w:lang w:val="fr-FR"/>
        </w:rPr>
        <w:t xml:space="preserve"> 25704/11, § 63, 29 janvier 2013</w:t>
      </w:r>
      <w:r w:rsidR="0037257C" w:rsidRPr="00437336">
        <w:rPr>
          <w:lang w:val="fr-FR"/>
        </w:rPr>
        <w:t>,</w:t>
      </w:r>
      <w:r w:rsidR="001E2737" w:rsidRPr="00437336">
        <w:rPr>
          <w:lang w:val="fr-FR"/>
        </w:rPr>
        <w:t xml:space="preserve"> </w:t>
      </w:r>
      <w:r w:rsidRPr="00437336">
        <w:rPr>
          <w:rFonts w:eastAsiaTheme="minorHAnsi"/>
          <w:lang w:val="fr-FR"/>
        </w:rPr>
        <w:t xml:space="preserve">et </w:t>
      </w:r>
      <w:r w:rsidR="0096022C" w:rsidRPr="00437336">
        <w:rPr>
          <w:i/>
          <w:lang w:val="fr-FR"/>
        </w:rPr>
        <w:t>Nicolò Santilli c. Italie</w:t>
      </w:r>
      <w:r w:rsidR="0096022C" w:rsidRPr="00437336">
        <w:rPr>
          <w:lang w:val="fr-FR"/>
        </w:rPr>
        <w:t>, n</w:t>
      </w:r>
      <w:r w:rsidR="0096022C" w:rsidRPr="00437336">
        <w:rPr>
          <w:vertAlign w:val="superscript"/>
          <w:lang w:val="fr-FR"/>
        </w:rPr>
        <w:t>o</w:t>
      </w:r>
      <w:r w:rsidR="0096022C" w:rsidRPr="00437336">
        <w:rPr>
          <w:lang w:val="fr-FR"/>
        </w:rPr>
        <w:t> 51930/10</w:t>
      </w:r>
      <w:r w:rsidR="00BF17F6" w:rsidRPr="00437336">
        <w:rPr>
          <w:snapToGrid w:val="0"/>
          <w:lang w:val="fr-FR"/>
        </w:rPr>
        <w:t>, § 46, 17 </w:t>
      </w:r>
      <w:r w:rsidR="0096022C" w:rsidRPr="00437336">
        <w:rPr>
          <w:lang w:val="fr-FR"/>
        </w:rPr>
        <w:t>décembre</w:t>
      </w:r>
      <w:r w:rsidR="0096022C" w:rsidRPr="00437336">
        <w:rPr>
          <w:snapToGrid w:val="0"/>
          <w:lang w:val="fr-FR"/>
        </w:rPr>
        <w:t xml:space="preserve"> 2013)</w:t>
      </w:r>
      <w:r w:rsidR="001E2737" w:rsidRPr="00437336">
        <w:rPr>
          <w:snapToGrid w:val="0"/>
          <w:lang w:val="fr-FR"/>
        </w:rPr>
        <w:t>.</w:t>
      </w:r>
    </w:p>
    <w:p w:rsidR="00437336" w:rsidRPr="00437336" w:rsidRDefault="0026209D" w:rsidP="00437336">
      <w:pPr>
        <w:pStyle w:val="ECHRPara"/>
        <w:rPr>
          <w:color w:val="1F497D"/>
          <w:lang w:val="fr-FR"/>
        </w:rPr>
      </w:pPr>
      <w:r w:rsidRPr="00437336">
        <w:rPr>
          <w:rFonts w:eastAsiaTheme="minorHAnsi"/>
          <w:lang w:val="fr-FR"/>
        </w:rPr>
        <w:fldChar w:fldCharType="begin"/>
      </w:r>
      <w:r w:rsidRPr="00437336">
        <w:rPr>
          <w:rFonts w:eastAsiaTheme="minorHAnsi"/>
          <w:lang w:val="fr-FR"/>
        </w:rPr>
        <w:instrText xml:space="preserve"> SEQ level0 \*arabic </w:instrText>
      </w:r>
      <w:r w:rsidRPr="00437336">
        <w:rPr>
          <w:rFonts w:eastAsiaTheme="minorHAnsi"/>
          <w:lang w:val="fr-FR"/>
        </w:rPr>
        <w:fldChar w:fldCharType="separate"/>
      </w:r>
      <w:r w:rsidR="00C21CB2">
        <w:rPr>
          <w:rFonts w:eastAsiaTheme="minorHAnsi"/>
          <w:noProof/>
          <w:lang w:val="fr-FR"/>
        </w:rPr>
        <w:t>48</w:t>
      </w:r>
      <w:r w:rsidRPr="00437336">
        <w:rPr>
          <w:rFonts w:eastAsiaTheme="minorHAnsi"/>
          <w:lang w:val="fr-FR"/>
        </w:rPr>
        <w:fldChar w:fldCharType="end"/>
      </w:r>
      <w:r w:rsidRPr="00437336">
        <w:rPr>
          <w:rFonts w:eastAsiaTheme="minorHAnsi"/>
          <w:lang w:val="fr-FR"/>
        </w:rPr>
        <w:t>.  Compte tenu de ces éléments, la Cour estime que le requérant a épuisé les vo</w:t>
      </w:r>
      <w:r w:rsidR="00D668C6" w:rsidRPr="00437336">
        <w:rPr>
          <w:rFonts w:eastAsiaTheme="minorHAnsi"/>
          <w:lang w:val="fr-FR"/>
        </w:rPr>
        <w:t>ies de recours disponibles et qu</w:t>
      </w:r>
      <w:r w:rsidR="00437336" w:rsidRPr="00437336">
        <w:rPr>
          <w:rFonts w:eastAsiaTheme="minorHAnsi"/>
          <w:lang w:val="fr-FR"/>
        </w:rPr>
        <w:t>’</w:t>
      </w:r>
      <w:r w:rsidRPr="00437336">
        <w:rPr>
          <w:rFonts w:eastAsiaTheme="minorHAnsi"/>
          <w:lang w:val="fr-FR"/>
        </w:rPr>
        <w:t xml:space="preserve">il y a lieu de rejeter </w:t>
      </w:r>
      <w:r w:rsidR="001E2737" w:rsidRPr="00437336">
        <w:rPr>
          <w:rFonts w:eastAsiaTheme="minorHAnsi"/>
          <w:lang w:val="fr-FR"/>
        </w:rPr>
        <w:t>l</w:t>
      </w:r>
      <w:r w:rsidR="00437336" w:rsidRPr="00437336">
        <w:rPr>
          <w:rFonts w:eastAsiaTheme="minorHAnsi"/>
          <w:lang w:val="fr-FR"/>
        </w:rPr>
        <w:t>’</w:t>
      </w:r>
      <w:r w:rsidR="001E2737" w:rsidRPr="00437336">
        <w:rPr>
          <w:rFonts w:eastAsiaTheme="minorHAnsi"/>
          <w:lang w:val="fr-FR"/>
        </w:rPr>
        <w:t>exception</w:t>
      </w:r>
      <w:r w:rsidRPr="00437336">
        <w:rPr>
          <w:rFonts w:eastAsiaTheme="minorHAnsi"/>
          <w:lang w:val="fr-FR"/>
        </w:rPr>
        <w:t xml:space="preserve"> soulevée par le Gouvernement.</w:t>
      </w:r>
    </w:p>
    <w:p w:rsidR="0026209D" w:rsidRPr="00437336" w:rsidRDefault="0026209D" w:rsidP="00437336">
      <w:pPr>
        <w:pStyle w:val="ECHRHeading3"/>
        <w:rPr>
          <w:rFonts w:eastAsiaTheme="minorHAnsi"/>
          <w:lang w:val="fr-FR"/>
        </w:rPr>
      </w:pPr>
      <w:r w:rsidRPr="00437336">
        <w:rPr>
          <w:rFonts w:eastAsiaTheme="minorHAnsi"/>
          <w:lang w:val="fr-FR"/>
        </w:rPr>
        <w:t>2.</w:t>
      </w:r>
      <w:r w:rsidR="0037257C" w:rsidRPr="00437336">
        <w:rPr>
          <w:lang w:val="fr-FR"/>
        </w:rPr>
        <w:t>  </w:t>
      </w:r>
      <w:r w:rsidRPr="00437336">
        <w:rPr>
          <w:lang w:val="fr-FR"/>
        </w:rPr>
        <w:t>Sur le défaut de qualité de victime du requérant</w:t>
      </w:r>
    </w:p>
    <w:p w:rsidR="00CF5208" w:rsidRPr="00437336" w:rsidRDefault="0078534A"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49</w:t>
      </w:r>
      <w:r w:rsidRPr="00437336">
        <w:rPr>
          <w:lang w:val="fr-FR"/>
        </w:rPr>
        <w:fldChar w:fldCharType="end"/>
      </w:r>
      <w:r w:rsidRPr="00437336">
        <w:rPr>
          <w:lang w:val="fr-FR"/>
        </w:rPr>
        <w:t>.  </w:t>
      </w:r>
      <w:r w:rsidR="00D43AE1" w:rsidRPr="00437336">
        <w:rPr>
          <w:lang w:val="fr-FR"/>
        </w:rPr>
        <w:t>L</w:t>
      </w:r>
      <w:r w:rsidR="00CF5208" w:rsidRPr="00437336">
        <w:rPr>
          <w:lang w:val="fr-FR"/>
        </w:rPr>
        <w:t>e Gouvernement rappelle que depuis 2010, le requérant refuse de rencontrer l</w:t>
      </w:r>
      <w:r w:rsidR="00437336" w:rsidRPr="00437336">
        <w:rPr>
          <w:lang w:val="fr-FR"/>
        </w:rPr>
        <w:t>’</w:t>
      </w:r>
      <w:r w:rsidR="00CF5208" w:rsidRPr="00437336">
        <w:rPr>
          <w:lang w:val="fr-FR"/>
        </w:rPr>
        <w:t>enfant et que ce comportement cause un dommage psychologique à ce dernier.</w:t>
      </w:r>
      <w:r w:rsidR="00437336" w:rsidRPr="00437336">
        <w:rPr>
          <w:lang w:val="fr-FR"/>
        </w:rPr>
        <w:t xml:space="preserve"> </w:t>
      </w:r>
      <w:r w:rsidR="00D668C6" w:rsidRPr="00437336">
        <w:rPr>
          <w:lang w:val="fr-FR"/>
        </w:rPr>
        <w:t>Pour cette raison</w:t>
      </w:r>
      <w:r w:rsidR="001E2737" w:rsidRPr="00437336">
        <w:rPr>
          <w:lang w:val="fr-FR"/>
        </w:rPr>
        <w:t>,</w:t>
      </w:r>
      <w:r w:rsidR="00D668C6" w:rsidRPr="00437336">
        <w:rPr>
          <w:lang w:val="fr-FR"/>
        </w:rPr>
        <w:t xml:space="preserve"> le requérant ne pourrait pas se prétendre victime d</w:t>
      </w:r>
      <w:r w:rsidR="00437336" w:rsidRPr="00437336">
        <w:rPr>
          <w:lang w:val="fr-FR"/>
        </w:rPr>
        <w:t>’</w:t>
      </w:r>
      <w:r w:rsidR="00D668C6" w:rsidRPr="00437336">
        <w:rPr>
          <w:lang w:val="fr-FR"/>
        </w:rPr>
        <w:t>une violation de la Convention.</w:t>
      </w:r>
    </w:p>
    <w:p w:rsidR="0026209D" w:rsidRPr="00437336" w:rsidRDefault="00D43AE1" w:rsidP="00437336">
      <w:pPr>
        <w:pStyle w:val="ECHRPara"/>
        <w:rPr>
          <w:rFonts w:eastAsiaTheme="minorHAnsi"/>
          <w:lang w:val="fr-FR"/>
        </w:rPr>
      </w:pPr>
      <w:r w:rsidRPr="00437336">
        <w:rPr>
          <w:rFonts w:eastAsiaTheme="minorHAnsi"/>
          <w:lang w:val="fr-FR"/>
        </w:rPr>
        <w:lastRenderedPageBreak/>
        <w:fldChar w:fldCharType="begin"/>
      </w:r>
      <w:r w:rsidRPr="00437336">
        <w:rPr>
          <w:rFonts w:eastAsiaTheme="minorHAnsi"/>
          <w:lang w:val="fr-FR"/>
        </w:rPr>
        <w:instrText xml:space="preserve"> SEQ level0 \*arabic </w:instrText>
      </w:r>
      <w:r w:rsidRPr="00437336">
        <w:rPr>
          <w:rFonts w:eastAsiaTheme="minorHAnsi"/>
          <w:lang w:val="fr-FR"/>
        </w:rPr>
        <w:fldChar w:fldCharType="separate"/>
      </w:r>
      <w:r w:rsidR="00C21CB2">
        <w:rPr>
          <w:rFonts w:eastAsiaTheme="minorHAnsi"/>
          <w:noProof/>
          <w:lang w:val="fr-FR"/>
        </w:rPr>
        <w:t>50</w:t>
      </w:r>
      <w:r w:rsidRPr="00437336">
        <w:rPr>
          <w:rFonts w:eastAsiaTheme="minorHAnsi"/>
          <w:lang w:val="fr-FR"/>
        </w:rPr>
        <w:fldChar w:fldCharType="end"/>
      </w:r>
      <w:r w:rsidRPr="00437336">
        <w:rPr>
          <w:rFonts w:eastAsiaTheme="minorHAnsi"/>
          <w:lang w:val="fr-FR"/>
        </w:rPr>
        <w:t>.   Le requérant s</w:t>
      </w:r>
      <w:r w:rsidR="00437336" w:rsidRPr="00437336">
        <w:rPr>
          <w:rFonts w:eastAsiaTheme="minorHAnsi"/>
          <w:lang w:val="fr-FR"/>
        </w:rPr>
        <w:t>’</w:t>
      </w:r>
      <w:r w:rsidRPr="00437336">
        <w:rPr>
          <w:rFonts w:eastAsiaTheme="minorHAnsi"/>
          <w:lang w:val="fr-FR"/>
        </w:rPr>
        <w:t>oppose et fait valoir que les autorités nationales n</w:t>
      </w:r>
      <w:r w:rsidR="00437336" w:rsidRPr="00437336">
        <w:rPr>
          <w:rFonts w:eastAsiaTheme="minorHAnsi"/>
          <w:lang w:val="fr-FR"/>
        </w:rPr>
        <w:t>’</w:t>
      </w:r>
      <w:r w:rsidRPr="00437336">
        <w:rPr>
          <w:rFonts w:eastAsiaTheme="minorHAnsi"/>
          <w:lang w:val="fr-FR"/>
        </w:rPr>
        <w:t xml:space="preserve">ont pas pris les mesures </w:t>
      </w:r>
      <w:r w:rsidR="001E2737" w:rsidRPr="00437336">
        <w:rPr>
          <w:rFonts w:eastAsiaTheme="minorHAnsi"/>
          <w:lang w:val="fr-FR"/>
        </w:rPr>
        <w:t xml:space="preserve">nécessaires </w:t>
      </w:r>
      <w:r w:rsidRPr="00437336">
        <w:rPr>
          <w:rFonts w:eastAsiaTheme="minorHAnsi"/>
          <w:lang w:val="fr-FR"/>
        </w:rPr>
        <w:t xml:space="preserve">afin de rendre effectif </w:t>
      </w:r>
      <w:r w:rsidR="001E2737" w:rsidRPr="00437336">
        <w:rPr>
          <w:rFonts w:eastAsiaTheme="minorHAnsi"/>
          <w:lang w:val="fr-FR"/>
        </w:rPr>
        <w:t>son</w:t>
      </w:r>
      <w:r w:rsidRPr="00437336">
        <w:rPr>
          <w:rFonts w:eastAsiaTheme="minorHAnsi"/>
          <w:lang w:val="fr-FR"/>
        </w:rPr>
        <w:t xml:space="preserve"> droit de </w:t>
      </w:r>
      <w:r w:rsidR="00F54C21" w:rsidRPr="00437336">
        <w:rPr>
          <w:rFonts w:eastAsiaTheme="minorHAnsi"/>
          <w:lang w:val="fr-FR"/>
        </w:rPr>
        <w:t>visite</w:t>
      </w:r>
      <w:r w:rsidRPr="00437336">
        <w:rPr>
          <w:rFonts w:eastAsiaTheme="minorHAnsi"/>
          <w:lang w:val="fr-FR"/>
        </w:rPr>
        <w:t>. Il rappelle avoir refus</w:t>
      </w:r>
      <w:r w:rsidR="0078534A" w:rsidRPr="00437336">
        <w:rPr>
          <w:rFonts w:eastAsiaTheme="minorHAnsi"/>
          <w:lang w:val="fr-FR"/>
        </w:rPr>
        <w:t>é les visites en milieu protégé</w:t>
      </w:r>
      <w:r w:rsidR="001E2737" w:rsidRPr="00437336">
        <w:rPr>
          <w:rFonts w:eastAsiaTheme="minorHAnsi"/>
          <w:lang w:val="fr-FR"/>
        </w:rPr>
        <w:t>,</w:t>
      </w:r>
      <w:r w:rsidRPr="00437336">
        <w:rPr>
          <w:rFonts w:eastAsiaTheme="minorHAnsi"/>
          <w:lang w:val="fr-FR"/>
        </w:rPr>
        <w:t xml:space="preserve"> mais de s</w:t>
      </w:r>
      <w:r w:rsidR="00437336" w:rsidRPr="00437336">
        <w:rPr>
          <w:rFonts w:eastAsiaTheme="minorHAnsi"/>
          <w:lang w:val="fr-FR"/>
        </w:rPr>
        <w:t>’</w:t>
      </w:r>
      <w:r w:rsidRPr="00437336">
        <w:rPr>
          <w:rFonts w:eastAsiaTheme="minorHAnsi"/>
          <w:lang w:val="fr-FR"/>
        </w:rPr>
        <w:t>être toujours intéressé à son fils.</w:t>
      </w:r>
    </w:p>
    <w:p w:rsidR="00F54C21" w:rsidRPr="00437336" w:rsidRDefault="00D668C6" w:rsidP="00437336">
      <w:pPr>
        <w:pStyle w:val="ECHRPara"/>
        <w:rPr>
          <w:lang w:val="fr-FR"/>
        </w:rPr>
      </w:pPr>
      <w:r w:rsidRPr="00437336">
        <w:rPr>
          <w:rFonts w:eastAsiaTheme="minorHAnsi"/>
          <w:lang w:val="fr-FR"/>
        </w:rPr>
        <w:fldChar w:fldCharType="begin"/>
      </w:r>
      <w:r w:rsidRPr="00437336">
        <w:rPr>
          <w:rFonts w:eastAsiaTheme="minorHAnsi"/>
          <w:lang w:val="fr-FR"/>
        </w:rPr>
        <w:instrText xml:space="preserve"> SEQ level0 \*arabic </w:instrText>
      </w:r>
      <w:r w:rsidRPr="00437336">
        <w:rPr>
          <w:rFonts w:eastAsiaTheme="minorHAnsi"/>
          <w:lang w:val="fr-FR"/>
        </w:rPr>
        <w:fldChar w:fldCharType="separate"/>
      </w:r>
      <w:r w:rsidR="00C21CB2">
        <w:rPr>
          <w:rFonts w:eastAsiaTheme="minorHAnsi"/>
          <w:noProof/>
          <w:lang w:val="fr-FR"/>
        </w:rPr>
        <w:t>51</w:t>
      </w:r>
      <w:r w:rsidRPr="00437336">
        <w:rPr>
          <w:rFonts w:eastAsiaTheme="minorHAnsi"/>
          <w:lang w:val="fr-FR"/>
        </w:rPr>
        <w:fldChar w:fldCharType="end"/>
      </w:r>
      <w:r w:rsidRPr="00437336">
        <w:rPr>
          <w:rFonts w:eastAsiaTheme="minorHAnsi"/>
          <w:lang w:val="fr-FR"/>
        </w:rPr>
        <w:t>.  </w:t>
      </w:r>
      <w:r w:rsidR="00444CA8" w:rsidRPr="00437336">
        <w:rPr>
          <w:rFonts w:eastAsiaTheme="minorHAnsi"/>
          <w:lang w:val="fr-FR"/>
        </w:rPr>
        <w:t xml:space="preserve">La Cour </w:t>
      </w:r>
      <w:r w:rsidR="0078534A" w:rsidRPr="00437336">
        <w:rPr>
          <w:lang w:val="fr-FR"/>
        </w:rPr>
        <w:t>n</w:t>
      </w:r>
      <w:r w:rsidR="00437336" w:rsidRPr="00437336">
        <w:rPr>
          <w:lang w:val="fr-FR"/>
        </w:rPr>
        <w:t>’</w:t>
      </w:r>
      <w:r w:rsidR="0078534A" w:rsidRPr="00437336">
        <w:rPr>
          <w:lang w:val="fr-FR"/>
        </w:rPr>
        <w:t>estime pas</w:t>
      </w:r>
      <w:r w:rsidR="00444CA8" w:rsidRPr="00437336">
        <w:rPr>
          <w:lang w:val="fr-FR"/>
        </w:rPr>
        <w:t xml:space="preserve"> nécessaire d</w:t>
      </w:r>
      <w:r w:rsidR="00437336" w:rsidRPr="00437336">
        <w:rPr>
          <w:lang w:val="fr-FR"/>
        </w:rPr>
        <w:t>’</w:t>
      </w:r>
      <w:r w:rsidR="00444CA8" w:rsidRPr="00437336">
        <w:rPr>
          <w:lang w:val="fr-FR"/>
        </w:rPr>
        <w:t xml:space="preserve">examiner </w:t>
      </w:r>
      <w:r w:rsidRPr="00437336">
        <w:rPr>
          <w:lang w:val="fr-FR"/>
        </w:rPr>
        <w:t>cette exception</w:t>
      </w:r>
      <w:r w:rsidR="00444CA8" w:rsidRPr="00437336">
        <w:rPr>
          <w:lang w:val="fr-FR"/>
        </w:rPr>
        <w:t xml:space="preserve"> pour les raisons exposées </w:t>
      </w:r>
      <w:r w:rsidRPr="00437336">
        <w:rPr>
          <w:lang w:val="fr-FR"/>
        </w:rPr>
        <w:t>ci-après (</w:t>
      </w:r>
      <w:r w:rsidR="00444CA8" w:rsidRPr="00437336">
        <w:rPr>
          <w:lang w:val="fr-FR"/>
        </w:rPr>
        <w:t>voir paragraphes</w:t>
      </w:r>
      <w:r w:rsidRPr="00437336">
        <w:rPr>
          <w:lang w:val="fr-FR"/>
        </w:rPr>
        <w:t xml:space="preserve"> </w:t>
      </w:r>
      <w:r w:rsidR="00CE4FFC" w:rsidRPr="00437336">
        <w:rPr>
          <w:lang w:val="fr-FR"/>
        </w:rPr>
        <w:t>78</w:t>
      </w:r>
      <w:r w:rsidR="00145041" w:rsidRPr="00437336">
        <w:rPr>
          <w:lang w:val="fr-FR"/>
        </w:rPr>
        <w:t>-</w:t>
      </w:r>
      <w:r w:rsidR="00CE4FFC" w:rsidRPr="00437336">
        <w:rPr>
          <w:lang w:val="fr-FR"/>
        </w:rPr>
        <w:t xml:space="preserve">83 </w:t>
      </w:r>
      <w:r w:rsidRPr="00437336">
        <w:rPr>
          <w:lang w:val="fr-FR"/>
        </w:rPr>
        <w:t>ci-dessous</w:t>
      </w:r>
      <w:r w:rsidR="00444CA8" w:rsidRPr="00437336">
        <w:rPr>
          <w:lang w:val="fr-FR"/>
        </w:rPr>
        <w:t>)</w:t>
      </w:r>
      <w:r w:rsidRPr="00437336">
        <w:rPr>
          <w:lang w:val="fr-FR"/>
        </w:rPr>
        <w:t>.</w:t>
      </w:r>
    </w:p>
    <w:p w:rsidR="007844C7" w:rsidRPr="00437336" w:rsidRDefault="0037257C" w:rsidP="00437336">
      <w:pPr>
        <w:pStyle w:val="ECHRHeading3"/>
        <w:rPr>
          <w:lang w:val="fr-FR"/>
        </w:rPr>
      </w:pPr>
      <w:r w:rsidRPr="00437336">
        <w:rPr>
          <w:lang w:val="fr-FR"/>
        </w:rPr>
        <w:t>3.  </w:t>
      </w:r>
      <w:r w:rsidR="007844C7" w:rsidRPr="00437336">
        <w:rPr>
          <w:lang w:val="fr-FR"/>
        </w:rPr>
        <w:t>Conclusion</w:t>
      </w:r>
    </w:p>
    <w:p w:rsidR="007844C7" w:rsidRPr="00437336" w:rsidRDefault="007844C7" w:rsidP="00437336">
      <w:pPr>
        <w:pStyle w:val="ECHRPara"/>
        <w:rPr>
          <w:rFonts w:eastAsiaTheme="minorHAnsi"/>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52</w:t>
      </w:r>
      <w:r w:rsidRPr="00437336">
        <w:rPr>
          <w:lang w:val="fr-FR"/>
        </w:rPr>
        <w:fldChar w:fldCharType="end"/>
      </w:r>
      <w:r w:rsidRPr="00437336">
        <w:rPr>
          <w:lang w:val="fr-FR"/>
        </w:rPr>
        <w:t>.  Constatant que la requête n</w:t>
      </w:r>
      <w:r w:rsidR="00437336" w:rsidRPr="00437336">
        <w:rPr>
          <w:lang w:val="fr-FR"/>
        </w:rPr>
        <w:t>’</w:t>
      </w:r>
      <w:r w:rsidRPr="00437336">
        <w:rPr>
          <w:lang w:val="fr-FR"/>
        </w:rPr>
        <w:t>est pas manifestement mal fondée au sens de l</w:t>
      </w:r>
      <w:r w:rsidR="00437336" w:rsidRPr="00437336">
        <w:rPr>
          <w:lang w:val="fr-FR"/>
        </w:rPr>
        <w:t>’</w:t>
      </w:r>
      <w:r w:rsidRPr="00437336">
        <w:rPr>
          <w:lang w:val="fr-FR"/>
        </w:rPr>
        <w:t>article 35 § 3 a) de la Convention et qu</w:t>
      </w:r>
      <w:r w:rsidR="00437336" w:rsidRPr="00437336">
        <w:rPr>
          <w:lang w:val="fr-FR"/>
        </w:rPr>
        <w:t>’</w:t>
      </w:r>
      <w:r w:rsidRPr="00437336">
        <w:rPr>
          <w:lang w:val="fr-FR"/>
        </w:rPr>
        <w:t>elle ne se heurte par ailleurs à aucun autre motif d</w:t>
      </w:r>
      <w:r w:rsidR="00437336" w:rsidRPr="00437336">
        <w:rPr>
          <w:lang w:val="fr-FR"/>
        </w:rPr>
        <w:t>’</w:t>
      </w:r>
      <w:r w:rsidRPr="00437336">
        <w:rPr>
          <w:lang w:val="fr-FR"/>
        </w:rPr>
        <w:t>irrecevabilité, la Cour la déc</w:t>
      </w:r>
      <w:r w:rsidR="0037257C" w:rsidRPr="00437336">
        <w:rPr>
          <w:lang w:val="fr-FR"/>
        </w:rPr>
        <w:t>lare recevable.</w:t>
      </w:r>
    </w:p>
    <w:p w:rsidR="00E77CB3" w:rsidRPr="00437336" w:rsidRDefault="001E2737" w:rsidP="00437336">
      <w:pPr>
        <w:pStyle w:val="ECHRHeading2"/>
        <w:rPr>
          <w:lang w:val="fr-FR"/>
        </w:rPr>
      </w:pPr>
      <w:r w:rsidRPr="00437336">
        <w:rPr>
          <w:lang w:val="fr-FR"/>
        </w:rPr>
        <w:t>C</w:t>
      </w:r>
      <w:r w:rsidR="00E77CB3" w:rsidRPr="00437336">
        <w:rPr>
          <w:lang w:val="fr-FR"/>
        </w:rPr>
        <w:t>.  Sur le fond</w:t>
      </w:r>
    </w:p>
    <w:p w:rsidR="00410B55" w:rsidRPr="00437336" w:rsidRDefault="0037257C" w:rsidP="00437336">
      <w:pPr>
        <w:pStyle w:val="ECHRHeading3"/>
        <w:rPr>
          <w:lang w:val="fr-FR"/>
        </w:rPr>
      </w:pPr>
      <w:r w:rsidRPr="00437336">
        <w:rPr>
          <w:lang w:val="fr-FR"/>
        </w:rPr>
        <w:t>1.  </w:t>
      </w:r>
      <w:r w:rsidR="00410B55" w:rsidRPr="00437336">
        <w:rPr>
          <w:lang w:val="fr-FR"/>
        </w:rPr>
        <w:t>Thèses des parties</w:t>
      </w:r>
    </w:p>
    <w:p w:rsidR="009D28BD" w:rsidRPr="00437336" w:rsidRDefault="009D28BD"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53</w:t>
      </w:r>
      <w:r w:rsidRPr="00437336">
        <w:rPr>
          <w:lang w:val="fr-FR"/>
        </w:rPr>
        <w:fldChar w:fldCharType="end"/>
      </w:r>
      <w:r w:rsidRPr="00437336">
        <w:rPr>
          <w:lang w:val="fr-FR"/>
        </w:rPr>
        <w:t>.  Le requérant soutient que, malgré l</w:t>
      </w:r>
      <w:r w:rsidR="00437336" w:rsidRPr="00437336">
        <w:rPr>
          <w:lang w:val="fr-FR"/>
        </w:rPr>
        <w:t>’</w:t>
      </w:r>
      <w:r w:rsidRPr="00437336">
        <w:rPr>
          <w:lang w:val="fr-FR"/>
        </w:rPr>
        <w:t>existence de plusieurs décisions du tribunal fixant les conditions d</w:t>
      </w:r>
      <w:r w:rsidR="00437336" w:rsidRPr="00437336">
        <w:rPr>
          <w:lang w:val="fr-FR"/>
        </w:rPr>
        <w:t>’</w:t>
      </w:r>
      <w:r w:rsidRPr="00437336">
        <w:rPr>
          <w:lang w:val="fr-FR"/>
        </w:rPr>
        <w:t>exercice de son droit de visite, il n</w:t>
      </w:r>
      <w:r w:rsidR="00437336" w:rsidRPr="00437336">
        <w:rPr>
          <w:lang w:val="fr-FR"/>
        </w:rPr>
        <w:t>’</w:t>
      </w:r>
      <w:r w:rsidRPr="00437336">
        <w:rPr>
          <w:lang w:val="fr-FR"/>
        </w:rPr>
        <w:t>a pas pu exercer pleinement ce droit depuis 2006. Il reproche aux juridictions internes de ne pas avoir exercé, comme elles en auraient eu l</w:t>
      </w:r>
      <w:r w:rsidR="00437336" w:rsidRPr="00437336">
        <w:rPr>
          <w:lang w:val="fr-FR"/>
        </w:rPr>
        <w:t>’</w:t>
      </w:r>
      <w:r w:rsidRPr="00437336">
        <w:rPr>
          <w:lang w:val="fr-FR"/>
        </w:rPr>
        <w:t>obligation, un contrôle constant sur le respect de son droit de visite.</w:t>
      </w:r>
    </w:p>
    <w:p w:rsidR="009D28BD" w:rsidRPr="00437336" w:rsidRDefault="009D28BD"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54</w:t>
      </w:r>
      <w:r w:rsidRPr="00437336">
        <w:rPr>
          <w:lang w:val="fr-FR"/>
        </w:rPr>
        <w:fldChar w:fldCharType="end"/>
      </w:r>
      <w:r w:rsidRPr="00437336">
        <w:rPr>
          <w:lang w:val="fr-FR"/>
        </w:rPr>
        <w:t>.  Le requérant allègue que les autorités et les services sociaux ont toléré le comportement de C.M., qu</w:t>
      </w:r>
      <w:r w:rsidR="00437336" w:rsidRPr="00437336">
        <w:rPr>
          <w:lang w:val="fr-FR"/>
        </w:rPr>
        <w:t>’</w:t>
      </w:r>
      <w:r w:rsidRPr="00437336">
        <w:rPr>
          <w:lang w:val="fr-FR"/>
        </w:rPr>
        <w:t>il qualifie d</w:t>
      </w:r>
      <w:r w:rsidR="00437336" w:rsidRPr="00437336">
        <w:rPr>
          <w:lang w:val="fr-FR"/>
        </w:rPr>
        <w:t>’</w:t>
      </w:r>
      <w:r w:rsidR="00C04058" w:rsidRPr="00437336">
        <w:rPr>
          <w:lang w:val="fr-FR"/>
        </w:rPr>
        <w:t>inacceptable, puisque celle </w:t>
      </w:r>
      <w:r w:rsidR="00C04058" w:rsidRPr="00437336">
        <w:rPr>
          <w:lang w:val="fr-FR"/>
        </w:rPr>
        <w:noBreakHyphen/>
        <w:t> </w:t>
      </w:r>
      <w:r w:rsidRPr="00437336">
        <w:rPr>
          <w:lang w:val="fr-FR"/>
        </w:rPr>
        <w:t>ci aurait entravé son droit de visite et essayé de dresser l</w:t>
      </w:r>
      <w:r w:rsidR="00437336" w:rsidRPr="00437336">
        <w:rPr>
          <w:lang w:val="fr-FR"/>
        </w:rPr>
        <w:t>’</w:t>
      </w:r>
      <w:r w:rsidRPr="00437336">
        <w:rPr>
          <w:lang w:val="fr-FR"/>
        </w:rPr>
        <w:t>enfant contre lui. De plus, il reproche aux autorités de ne pas avoir pris des mesures positives qui lui auraient permis d</w:t>
      </w:r>
      <w:r w:rsidR="00437336" w:rsidRPr="00437336">
        <w:rPr>
          <w:lang w:val="fr-FR"/>
        </w:rPr>
        <w:t>’</w:t>
      </w:r>
      <w:r w:rsidRPr="00437336">
        <w:rPr>
          <w:lang w:val="fr-FR"/>
        </w:rPr>
        <w:t>exercer son droit de visite et de nouer une relation avec son fils.</w:t>
      </w:r>
    </w:p>
    <w:p w:rsidR="009D28BD" w:rsidRPr="00437336" w:rsidRDefault="009D28BD"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55</w:t>
      </w:r>
      <w:r w:rsidRPr="00437336">
        <w:rPr>
          <w:lang w:val="fr-FR"/>
        </w:rPr>
        <w:fldChar w:fldCharType="end"/>
      </w:r>
      <w:r w:rsidRPr="00437336">
        <w:rPr>
          <w:lang w:val="fr-FR"/>
        </w:rPr>
        <w:t>.  Le requérant précise que son ex-compagne a toujours essayé de monter l</w:t>
      </w:r>
      <w:r w:rsidR="00437336" w:rsidRPr="00437336">
        <w:rPr>
          <w:lang w:val="fr-FR"/>
        </w:rPr>
        <w:t>’</w:t>
      </w:r>
      <w:r w:rsidRPr="00437336">
        <w:rPr>
          <w:lang w:val="fr-FR"/>
        </w:rPr>
        <w:t>enfant contre lui et que, en sept ans, il a eu la possibilité de passer seulement trois jours, en 2010, avec son fils.</w:t>
      </w:r>
    </w:p>
    <w:p w:rsidR="009D28BD" w:rsidRPr="00437336" w:rsidRDefault="009D28BD"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56</w:t>
      </w:r>
      <w:r w:rsidRPr="00437336">
        <w:rPr>
          <w:lang w:val="fr-FR"/>
        </w:rPr>
        <w:fldChar w:fldCharType="end"/>
      </w:r>
      <w:r w:rsidRPr="00437336">
        <w:rPr>
          <w:lang w:val="fr-FR"/>
        </w:rPr>
        <w:t>.  Il ajoute que, par la suite, les juridictions ont autorisé l</w:t>
      </w:r>
      <w:r w:rsidR="00437336" w:rsidRPr="00437336">
        <w:rPr>
          <w:lang w:val="fr-FR"/>
        </w:rPr>
        <w:t>’</w:t>
      </w:r>
      <w:r w:rsidRPr="00437336">
        <w:rPr>
          <w:lang w:val="fr-FR"/>
        </w:rPr>
        <w:t>enfant à partir avec sa mère à Turin et que, depuis, il n</w:t>
      </w:r>
      <w:r w:rsidR="00437336" w:rsidRPr="00437336">
        <w:rPr>
          <w:lang w:val="fr-FR"/>
        </w:rPr>
        <w:t>’</w:t>
      </w:r>
      <w:r w:rsidRPr="00437336">
        <w:rPr>
          <w:lang w:val="fr-FR"/>
        </w:rPr>
        <w:t>a aucune nouvelle directe de son fils. À ses yeux, le comportement des autorités est contraire au principe de la coparentalité.</w:t>
      </w:r>
    </w:p>
    <w:p w:rsidR="009D28BD" w:rsidRPr="00437336" w:rsidRDefault="009D28BD"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57</w:t>
      </w:r>
      <w:r w:rsidRPr="00437336">
        <w:rPr>
          <w:lang w:val="fr-FR"/>
        </w:rPr>
        <w:fldChar w:fldCharType="end"/>
      </w:r>
      <w:r w:rsidRPr="00437336">
        <w:rPr>
          <w:lang w:val="fr-FR"/>
        </w:rPr>
        <w:t>.  Enfin, le requérant indique qu</w:t>
      </w:r>
      <w:r w:rsidR="00437336" w:rsidRPr="00437336">
        <w:rPr>
          <w:lang w:val="fr-FR"/>
        </w:rPr>
        <w:t>’</w:t>
      </w:r>
      <w:r w:rsidRPr="00437336">
        <w:rPr>
          <w:lang w:val="fr-FR"/>
        </w:rPr>
        <w:t>il ne veut pas rencontrer l</w:t>
      </w:r>
      <w:r w:rsidR="00437336" w:rsidRPr="00437336">
        <w:rPr>
          <w:lang w:val="fr-FR"/>
        </w:rPr>
        <w:t>’</w:t>
      </w:r>
      <w:r w:rsidRPr="00437336">
        <w:rPr>
          <w:lang w:val="fr-FR"/>
        </w:rPr>
        <w:t>enfant en la présence des services sociaux ou de son ex-compagne et qu</w:t>
      </w:r>
      <w:r w:rsidR="00437336" w:rsidRPr="00437336">
        <w:rPr>
          <w:lang w:val="fr-FR"/>
        </w:rPr>
        <w:t>’</w:t>
      </w:r>
      <w:r w:rsidRPr="00437336">
        <w:rPr>
          <w:lang w:val="fr-FR"/>
        </w:rPr>
        <w:t>il souhaite exercer son droit de visite de manière libre.</w:t>
      </w:r>
    </w:p>
    <w:p w:rsidR="00D43AE1" w:rsidRPr="00437336" w:rsidRDefault="00D43AE1"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58</w:t>
      </w:r>
      <w:r w:rsidRPr="00437336">
        <w:rPr>
          <w:lang w:val="fr-FR"/>
        </w:rPr>
        <w:fldChar w:fldCharType="end"/>
      </w:r>
      <w:r w:rsidRPr="00437336">
        <w:rPr>
          <w:lang w:val="fr-FR"/>
        </w:rPr>
        <w:t>.  </w:t>
      </w:r>
      <w:r w:rsidR="00410B55" w:rsidRPr="00437336">
        <w:rPr>
          <w:lang w:val="fr-FR"/>
        </w:rPr>
        <w:t>Le</w:t>
      </w:r>
      <w:r w:rsidRPr="00437336">
        <w:rPr>
          <w:lang w:val="fr-FR"/>
        </w:rPr>
        <w:t xml:space="preserve"> Gouvernement soutient que les autorités on</w:t>
      </w:r>
      <w:r w:rsidR="00661BD0" w:rsidRPr="00437336">
        <w:rPr>
          <w:lang w:val="fr-FR"/>
        </w:rPr>
        <w:t>t agi avec la diligence requise.</w:t>
      </w:r>
    </w:p>
    <w:p w:rsidR="00D43AE1" w:rsidRPr="00437336" w:rsidRDefault="00D43AE1"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59</w:t>
      </w:r>
      <w:r w:rsidRPr="00437336">
        <w:rPr>
          <w:lang w:val="fr-FR"/>
        </w:rPr>
        <w:fldChar w:fldCharType="end"/>
      </w:r>
      <w:r w:rsidRPr="00437336">
        <w:rPr>
          <w:lang w:val="fr-FR"/>
        </w:rPr>
        <w:t>.  </w:t>
      </w:r>
      <w:r w:rsidRPr="00437336">
        <w:rPr>
          <w:rFonts w:ascii="Times New Roman" w:eastAsiaTheme="minorHAnsi" w:hAnsi="Times New Roman" w:cs="Times New Roman"/>
          <w:color w:val="000000"/>
          <w:szCs w:val="24"/>
          <w:lang w:val="fr-FR"/>
        </w:rPr>
        <w:t>Par ailleurs, s</w:t>
      </w:r>
      <w:r w:rsidRPr="00437336">
        <w:rPr>
          <w:lang w:val="fr-FR"/>
        </w:rPr>
        <w:t xml:space="preserve">e référant aux arrêts </w:t>
      </w:r>
      <w:r w:rsidRPr="00437336">
        <w:rPr>
          <w:i/>
          <w:iCs/>
          <w:lang w:val="fr-FR"/>
        </w:rPr>
        <w:t>Nuutinen c. Finlande</w:t>
      </w:r>
      <w:r w:rsidRPr="00437336">
        <w:rPr>
          <w:lang w:val="fr-FR"/>
        </w:rPr>
        <w:t xml:space="preserve"> (n</w:t>
      </w:r>
      <w:r w:rsidRPr="00437336">
        <w:rPr>
          <w:vertAlign w:val="superscript"/>
          <w:lang w:val="fr-FR"/>
        </w:rPr>
        <w:t>o </w:t>
      </w:r>
      <w:r w:rsidRPr="00437336">
        <w:rPr>
          <w:lang w:val="fr-FR"/>
        </w:rPr>
        <w:t>32842/96, CEDH 2000</w:t>
      </w:r>
      <w:r w:rsidRPr="00437336">
        <w:rPr>
          <w:lang w:val="fr-FR"/>
        </w:rPr>
        <w:noBreakHyphen/>
        <w:t>VIII) et</w:t>
      </w:r>
      <w:r w:rsidRPr="00437336">
        <w:rPr>
          <w:i/>
          <w:iCs/>
          <w:lang w:val="fr-FR"/>
        </w:rPr>
        <w:t xml:space="preserve"> Glass c. Royaume-Uni</w:t>
      </w:r>
      <w:r w:rsidRPr="00437336">
        <w:rPr>
          <w:lang w:val="fr-FR"/>
        </w:rPr>
        <w:t xml:space="preserve"> (n</w:t>
      </w:r>
      <w:r w:rsidRPr="00437336">
        <w:rPr>
          <w:vertAlign w:val="superscript"/>
          <w:lang w:val="fr-FR"/>
        </w:rPr>
        <w:t>o</w:t>
      </w:r>
      <w:r w:rsidRPr="00437336">
        <w:rPr>
          <w:lang w:val="fr-FR"/>
        </w:rPr>
        <w:t xml:space="preserve"> 61827/00, CEDH 2004</w:t>
      </w:r>
      <w:r w:rsidRPr="00437336">
        <w:rPr>
          <w:lang w:val="fr-FR"/>
        </w:rPr>
        <w:noBreakHyphen/>
        <w:t>II), le Gouvernement indique que l</w:t>
      </w:r>
      <w:r w:rsidR="00437336" w:rsidRPr="00437336">
        <w:rPr>
          <w:lang w:val="fr-FR"/>
        </w:rPr>
        <w:t>’</w:t>
      </w:r>
      <w:r w:rsidRPr="00437336">
        <w:rPr>
          <w:lang w:val="fr-FR"/>
        </w:rPr>
        <w:t>article 8 de la Convention ne saurait autoriser un parent à faire prendre des mesures préjudiciables à la santé et au développement de l</w:t>
      </w:r>
      <w:r w:rsidR="00437336" w:rsidRPr="00437336">
        <w:rPr>
          <w:lang w:val="fr-FR"/>
        </w:rPr>
        <w:t>’</w:t>
      </w:r>
      <w:r w:rsidRPr="00437336">
        <w:rPr>
          <w:lang w:val="fr-FR"/>
        </w:rPr>
        <w:t>enfant. À cet égard, il est d</w:t>
      </w:r>
      <w:r w:rsidR="00437336" w:rsidRPr="00437336">
        <w:rPr>
          <w:lang w:val="fr-FR"/>
        </w:rPr>
        <w:t>’</w:t>
      </w:r>
      <w:r w:rsidRPr="00437336">
        <w:rPr>
          <w:lang w:val="fr-FR"/>
        </w:rPr>
        <w:t xml:space="preserve">avis que rien ne peut être </w:t>
      </w:r>
      <w:r w:rsidRPr="00437336">
        <w:rPr>
          <w:lang w:val="fr-FR"/>
        </w:rPr>
        <w:lastRenderedPageBreak/>
        <w:t>reproché en l</w:t>
      </w:r>
      <w:r w:rsidR="00437336" w:rsidRPr="00437336">
        <w:rPr>
          <w:lang w:val="fr-FR"/>
        </w:rPr>
        <w:t>’</w:t>
      </w:r>
      <w:r w:rsidRPr="00437336">
        <w:rPr>
          <w:lang w:val="fr-FR"/>
        </w:rPr>
        <w:t>espèce aux autorités : celles-ci auraient agi dans l</w:t>
      </w:r>
      <w:r w:rsidR="00437336" w:rsidRPr="00437336">
        <w:rPr>
          <w:lang w:val="fr-FR"/>
        </w:rPr>
        <w:t>’</w:t>
      </w:r>
      <w:r w:rsidRPr="00437336">
        <w:rPr>
          <w:lang w:val="fr-FR"/>
        </w:rPr>
        <w:t>intérêt du mineur. Le Gouvernement précise que ce dernier se trouvait déjà en 2007 dans une situation difficile en raison des tensions existant entre les parents.</w:t>
      </w:r>
    </w:p>
    <w:p w:rsidR="00D43AE1" w:rsidRPr="00437336" w:rsidRDefault="00D43AE1"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60</w:t>
      </w:r>
      <w:r w:rsidRPr="00437336">
        <w:rPr>
          <w:lang w:val="fr-FR"/>
        </w:rPr>
        <w:fldChar w:fldCharType="end"/>
      </w:r>
      <w:r w:rsidRPr="00437336">
        <w:rPr>
          <w:lang w:val="fr-FR"/>
        </w:rPr>
        <w:t>.  Le Gouvernement considère également que le requérant n</w:t>
      </w:r>
      <w:r w:rsidR="00437336" w:rsidRPr="00437336">
        <w:rPr>
          <w:lang w:val="fr-FR"/>
        </w:rPr>
        <w:t>’</w:t>
      </w:r>
      <w:r w:rsidRPr="00437336">
        <w:rPr>
          <w:lang w:val="fr-FR"/>
        </w:rPr>
        <w:t>est pas victime d</w:t>
      </w:r>
      <w:r w:rsidR="00437336" w:rsidRPr="00437336">
        <w:rPr>
          <w:lang w:val="fr-FR"/>
        </w:rPr>
        <w:t>’</w:t>
      </w:r>
      <w:r w:rsidRPr="00437336">
        <w:rPr>
          <w:lang w:val="fr-FR"/>
        </w:rPr>
        <w:t>une violation de la Convention, au motif qu</w:t>
      </w:r>
      <w:r w:rsidR="00437336" w:rsidRPr="00437336">
        <w:rPr>
          <w:lang w:val="fr-FR"/>
        </w:rPr>
        <w:t>’</w:t>
      </w:r>
      <w:r w:rsidRPr="00437336">
        <w:rPr>
          <w:lang w:val="fr-FR"/>
        </w:rPr>
        <w:t>il s</w:t>
      </w:r>
      <w:r w:rsidR="00437336" w:rsidRPr="00437336">
        <w:rPr>
          <w:lang w:val="fr-FR"/>
        </w:rPr>
        <w:t>’</w:t>
      </w:r>
      <w:r w:rsidRPr="00437336">
        <w:rPr>
          <w:lang w:val="fr-FR"/>
        </w:rPr>
        <w:t>est opposé à toute rencontre avec l</w:t>
      </w:r>
      <w:r w:rsidR="00437336" w:rsidRPr="00437336">
        <w:rPr>
          <w:lang w:val="fr-FR"/>
        </w:rPr>
        <w:t>’</w:t>
      </w:r>
      <w:r w:rsidRPr="00437336">
        <w:rPr>
          <w:lang w:val="fr-FR"/>
        </w:rPr>
        <w:t>enfant depuis 2010.</w:t>
      </w:r>
    </w:p>
    <w:p w:rsidR="00437336" w:rsidRPr="00437336" w:rsidRDefault="00D43AE1"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61</w:t>
      </w:r>
      <w:r w:rsidRPr="00437336">
        <w:rPr>
          <w:lang w:val="fr-FR"/>
        </w:rPr>
        <w:fldChar w:fldCharType="end"/>
      </w:r>
      <w:r w:rsidRPr="00437336">
        <w:rPr>
          <w:lang w:val="fr-FR"/>
        </w:rPr>
        <w:t>.  En outre, dans ses observations, le Gouvernement affirme entre autres que</w:t>
      </w:r>
      <w:r w:rsidR="00437336" w:rsidRPr="00437336">
        <w:rPr>
          <w:lang w:val="fr-FR"/>
        </w:rPr>
        <w:t xml:space="preserve"> </w:t>
      </w:r>
      <w:r w:rsidRPr="00437336">
        <w:rPr>
          <w:lang w:val="fr-FR"/>
        </w:rPr>
        <w:t>toutes les exigences procédurales ont été respectées et que, au cours de la procédure interne, le requérant a pu présenter tous les arguments en faveur de l</w:t>
      </w:r>
      <w:r w:rsidR="00437336" w:rsidRPr="00437336">
        <w:rPr>
          <w:lang w:val="fr-FR"/>
        </w:rPr>
        <w:t>’</w:t>
      </w:r>
      <w:r w:rsidRPr="00437336">
        <w:rPr>
          <w:lang w:val="fr-FR"/>
        </w:rPr>
        <w:t>octroi d</w:t>
      </w:r>
      <w:r w:rsidR="00437336" w:rsidRPr="00437336">
        <w:rPr>
          <w:lang w:val="fr-FR"/>
        </w:rPr>
        <w:t>’</w:t>
      </w:r>
      <w:r w:rsidRPr="00437336">
        <w:rPr>
          <w:lang w:val="fr-FR"/>
        </w:rPr>
        <w:t>un droit de visite et a eu accès à toutes les informations pertinentes sur lesquelles les tribunaux se seraient appuyés pour statuer. Il estime que, dans ces conditions, l</w:t>
      </w:r>
      <w:r w:rsidR="00437336" w:rsidRPr="00437336">
        <w:rPr>
          <w:lang w:val="fr-FR"/>
        </w:rPr>
        <w:t>’</w:t>
      </w:r>
      <w:r w:rsidRPr="00437336">
        <w:rPr>
          <w:lang w:val="fr-FR"/>
        </w:rPr>
        <w:t>intérêt de l</w:t>
      </w:r>
      <w:r w:rsidR="00437336" w:rsidRPr="00437336">
        <w:rPr>
          <w:lang w:val="fr-FR"/>
        </w:rPr>
        <w:t>’</w:t>
      </w:r>
      <w:r w:rsidRPr="00437336">
        <w:rPr>
          <w:lang w:val="fr-FR"/>
        </w:rPr>
        <w:t>enfant a toujours été pris en considération.</w:t>
      </w:r>
    </w:p>
    <w:p w:rsidR="00410B55" w:rsidRPr="00437336" w:rsidRDefault="0037257C" w:rsidP="00437336">
      <w:pPr>
        <w:pStyle w:val="ECHRHeading3"/>
        <w:rPr>
          <w:lang w:val="fr-FR"/>
        </w:rPr>
      </w:pPr>
      <w:r w:rsidRPr="00437336">
        <w:rPr>
          <w:lang w:val="fr-FR"/>
        </w:rPr>
        <w:t>2.  </w:t>
      </w:r>
      <w:r w:rsidR="00410B55" w:rsidRPr="00437336">
        <w:rPr>
          <w:lang w:val="fr-FR"/>
        </w:rPr>
        <w:t>Appréciation de la Cour</w:t>
      </w:r>
    </w:p>
    <w:p w:rsidR="00F54C21" w:rsidRPr="00437336" w:rsidRDefault="00F54C21" w:rsidP="00437336">
      <w:pPr>
        <w:pStyle w:val="ECHRHeading4"/>
        <w:rPr>
          <w:lang w:val="fr-FR"/>
        </w:rPr>
      </w:pPr>
      <w:r w:rsidRPr="00437336">
        <w:rPr>
          <w:lang w:val="fr-FR"/>
        </w:rPr>
        <w:t>a)  Principes généraux</w:t>
      </w:r>
    </w:p>
    <w:p w:rsidR="005D0B42" w:rsidRPr="00437336" w:rsidRDefault="005D0B42"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62</w:t>
      </w:r>
      <w:r w:rsidRPr="00437336">
        <w:rPr>
          <w:lang w:val="fr-FR"/>
        </w:rPr>
        <w:fldChar w:fldCharType="end"/>
      </w:r>
      <w:r w:rsidRPr="00437336">
        <w:rPr>
          <w:lang w:val="fr-FR"/>
        </w:rPr>
        <w:t>.  Comme la Cour l</w:t>
      </w:r>
      <w:r w:rsidR="00437336" w:rsidRPr="00437336">
        <w:rPr>
          <w:lang w:val="fr-FR"/>
        </w:rPr>
        <w:t>’</w:t>
      </w:r>
      <w:r w:rsidRPr="00437336">
        <w:rPr>
          <w:lang w:val="fr-FR"/>
        </w:rPr>
        <w:t>a rappelé à maintes reprises, si l</w:t>
      </w:r>
      <w:r w:rsidR="00437336" w:rsidRPr="00437336">
        <w:rPr>
          <w:lang w:val="fr-FR"/>
        </w:rPr>
        <w:t>’</w:t>
      </w:r>
      <w:r w:rsidRPr="00437336">
        <w:rPr>
          <w:lang w:val="fr-FR"/>
        </w:rPr>
        <w:t>article 8 de la Convention a essentiellement pour objet de prémunir l</w:t>
      </w:r>
      <w:r w:rsidR="00437336" w:rsidRPr="00437336">
        <w:rPr>
          <w:lang w:val="fr-FR"/>
        </w:rPr>
        <w:t>’</w:t>
      </w:r>
      <w:r w:rsidRPr="00437336">
        <w:rPr>
          <w:lang w:val="fr-FR"/>
        </w:rPr>
        <w:t>individu contre les ingérences arbitraires des pouvoirs publics, il ne se contente pas de commander à l</w:t>
      </w:r>
      <w:r w:rsidR="00437336" w:rsidRPr="00437336">
        <w:rPr>
          <w:lang w:val="fr-FR"/>
        </w:rPr>
        <w:t>’</w:t>
      </w:r>
      <w:r w:rsidRPr="00437336">
        <w:rPr>
          <w:lang w:val="fr-FR"/>
        </w:rPr>
        <w:t>État de s</w:t>
      </w:r>
      <w:r w:rsidR="00437336" w:rsidRPr="00437336">
        <w:rPr>
          <w:lang w:val="fr-FR"/>
        </w:rPr>
        <w:t>’</w:t>
      </w:r>
      <w:r w:rsidRPr="00437336">
        <w:rPr>
          <w:lang w:val="fr-FR"/>
        </w:rPr>
        <w:t>abstenir de pareilles ingérences : à cet engagement plutôt négatif peuvent s</w:t>
      </w:r>
      <w:r w:rsidR="00437336" w:rsidRPr="00437336">
        <w:rPr>
          <w:lang w:val="fr-FR"/>
        </w:rPr>
        <w:t>’</w:t>
      </w:r>
      <w:r w:rsidRPr="00437336">
        <w:rPr>
          <w:lang w:val="fr-FR"/>
        </w:rPr>
        <w:t>ajouter des obligations positives inhérentes à un respect effectif de la vie privée ou familiale. Celles-ci peuvent impliquer l</w:t>
      </w:r>
      <w:r w:rsidR="00437336" w:rsidRPr="00437336">
        <w:rPr>
          <w:lang w:val="fr-FR"/>
        </w:rPr>
        <w:t>’</w:t>
      </w:r>
      <w:r w:rsidRPr="00437336">
        <w:rPr>
          <w:lang w:val="fr-FR"/>
        </w:rPr>
        <w:t>adoption de mesures visant au respect de la vie familiale jusque dans les relations des individus entre eux, dont la mise en place d</w:t>
      </w:r>
      <w:r w:rsidR="00437336" w:rsidRPr="00437336">
        <w:rPr>
          <w:lang w:val="fr-FR"/>
        </w:rPr>
        <w:t>’</w:t>
      </w:r>
      <w:r w:rsidRPr="00437336">
        <w:rPr>
          <w:lang w:val="fr-FR"/>
        </w:rPr>
        <w:t xml:space="preserve">un arsenal juridique adéquat et suffisant pour assurer les droits légitimes des intéressés, ainsi que le respect des décisions judiciaires, ou des mesures spécifiques appropriées (voir, </w:t>
      </w:r>
      <w:r w:rsidRPr="00437336">
        <w:rPr>
          <w:i/>
          <w:lang w:val="fr-FR"/>
        </w:rPr>
        <w:t>mutatis mutandis</w:t>
      </w:r>
      <w:r w:rsidRPr="00437336">
        <w:rPr>
          <w:lang w:val="fr-FR"/>
        </w:rPr>
        <w:t xml:space="preserve">, </w:t>
      </w:r>
      <w:r w:rsidRPr="00437336">
        <w:rPr>
          <w:i/>
          <w:lang w:val="fr-FR"/>
        </w:rPr>
        <w:t>Zawadka c. Pologne</w:t>
      </w:r>
      <w:r w:rsidRPr="00437336">
        <w:rPr>
          <w:lang w:val="fr-FR"/>
        </w:rPr>
        <w:t>, nº 48542/99, § 53, 23 juin 2005). Cet arsenal doit permettre à l</w:t>
      </w:r>
      <w:r w:rsidR="00437336" w:rsidRPr="00437336">
        <w:rPr>
          <w:lang w:val="fr-FR"/>
        </w:rPr>
        <w:t>’</w:t>
      </w:r>
      <w:r w:rsidRPr="00437336">
        <w:rPr>
          <w:lang w:val="fr-FR"/>
        </w:rPr>
        <w:t>État d</w:t>
      </w:r>
      <w:r w:rsidR="00437336" w:rsidRPr="00437336">
        <w:rPr>
          <w:lang w:val="fr-FR"/>
        </w:rPr>
        <w:t>’</w:t>
      </w:r>
      <w:r w:rsidRPr="00437336">
        <w:rPr>
          <w:lang w:val="fr-FR"/>
        </w:rPr>
        <w:t xml:space="preserve">adopter des mesures propres à réunir le parent et son enfant, y compris en cas de conflit opposant les deux parents (voir, </w:t>
      </w:r>
      <w:r w:rsidRPr="00437336">
        <w:rPr>
          <w:i/>
          <w:lang w:val="fr-FR"/>
        </w:rPr>
        <w:t>mutatis mutandis</w:t>
      </w:r>
      <w:r w:rsidRPr="00437336">
        <w:rPr>
          <w:lang w:val="fr-FR"/>
        </w:rPr>
        <w:t xml:space="preserve">, </w:t>
      </w:r>
      <w:r w:rsidRPr="00437336">
        <w:rPr>
          <w:i/>
          <w:lang w:val="fr-FR"/>
        </w:rPr>
        <w:t>Ignaccolo</w:t>
      </w:r>
      <w:r w:rsidRPr="00437336">
        <w:rPr>
          <w:i/>
          <w:lang w:val="fr-FR"/>
        </w:rPr>
        <w:noBreakHyphen/>
        <w:t>Zenide c. Roumanie</w:t>
      </w:r>
      <w:r w:rsidRPr="00437336">
        <w:rPr>
          <w:lang w:val="fr-FR"/>
        </w:rPr>
        <w:t>, n</w:t>
      </w:r>
      <w:r w:rsidR="000C368D" w:rsidRPr="00437336">
        <w:rPr>
          <w:vertAlign w:val="superscript"/>
          <w:lang w:val="fr-FR"/>
        </w:rPr>
        <w:t>o</w:t>
      </w:r>
      <w:r w:rsidR="00437336" w:rsidRPr="00437336">
        <w:rPr>
          <w:lang w:val="fr-FR"/>
        </w:rPr>
        <w:t> </w:t>
      </w:r>
      <w:r w:rsidRPr="00437336">
        <w:rPr>
          <w:lang w:val="fr-FR"/>
        </w:rPr>
        <w:t>31679/96, § 108, CEDH 2000</w:t>
      </w:r>
      <w:r w:rsidRPr="00437336">
        <w:rPr>
          <w:lang w:val="fr-FR"/>
        </w:rPr>
        <w:noBreakHyphen/>
        <w:t xml:space="preserve">I, </w:t>
      </w:r>
      <w:r w:rsidRPr="00437336">
        <w:rPr>
          <w:i/>
          <w:lang w:val="fr-FR"/>
        </w:rPr>
        <w:t>Sylvester c. Autriche</w:t>
      </w:r>
      <w:r w:rsidRPr="00437336">
        <w:rPr>
          <w:lang w:val="fr-FR"/>
        </w:rPr>
        <w:t>, n</w:t>
      </w:r>
      <w:r w:rsidRPr="00437336">
        <w:rPr>
          <w:vertAlign w:val="superscript"/>
          <w:lang w:val="fr-FR"/>
        </w:rPr>
        <w:t>os</w:t>
      </w:r>
      <w:r w:rsidR="00437336" w:rsidRPr="00437336">
        <w:rPr>
          <w:lang w:val="fr-FR"/>
        </w:rPr>
        <w:t> 36812/97 et </w:t>
      </w:r>
      <w:r w:rsidRPr="00437336">
        <w:rPr>
          <w:lang w:val="fr-FR"/>
        </w:rPr>
        <w:t xml:space="preserve">40104/98, § 68, 24 avril 2003, </w:t>
      </w:r>
      <w:r w:rsidR="003B5B49" w:rsidRPr="00437336">
        <w:rPr>
          <w:i/>
          <w:lang w:val="fr-FR"/>
        </w:rPr>
        <w:t>Zavř</w:t>
      </w:r>
      <w:r w:rsidRPr="00437336">
        <w:rPr>
          <w:i/>
          <w:lang w:val="fr-FR"/>
        </w:rPr>
        <w:t>el c. République tchèque</w:t>
      </w:r>
      <w:r w:rsidRPr="00437336">
        <w:rPr>
          <w:lang w:val="fr-FR"/>
        </w:rPr>
        <w:t>, n</w:t>
      </w:r>
      <w:r w:rsidR="000C368D" w:rsidRPr="00437336">
        <w:rPr>
          <w:vertAlign w:val="superscript"/>
          <w:lang w:val="fr-FR"/>
        </w:rPr>
        <w:t>o</w:t>
      </w:r>
      <w:r w:rsidR="00437336" w:rsidRPr="00437336">
        <w:rPr>
          <w:lang w:val="fr-FR"/>
        </w:rPr>
        <w:t xml:space="preserve"> 14044/05, § </w:t>
      </w:r>
      <w:r w:rsidRPr="00437336">
        <w:rPr>
          <w:lang w:val="fr-FR"/>
        </w:rPr>
        <w:t xml:space="preserve">47, 18 janvier 2007, et </w:t>
      </w:r>
      <w:r w:rsidRPr="00437336">
        <w:rPr>
          <w:i/>
          <w:lang w:val="fr-FR"/>
        </w:rPr>
        <w:t>Mihailova c. Bulgarie</w:t>
      </w:r>
      <w:r w:rsidRPr="00437336">
        <w:rPr>
          <w:lang w:val="fr-FR"/>
        </w:rPr>
        <w:t>, n</w:t>
      </w:r>
      <w:r w:rsidR="000C368D" w:rsidRPr="00437336">
        <w:rPr>
          <w:vertAlign w:val="superscript"/>
          <w:lang w:val="fr-FR"/>
        </w:rPr>
        <w:t>o</w:t>
      </w:r>
      <w:r w:rsidRPr="00437336">
        <w:rPr>
          <w:lang w:val="fr-FR"/>
        </w:rPr>
        <w:t> 35978/02, § 80, 12 janvier 2006). Par ailleurs, les obligations positives ne se limitent pas à veiller à ce que l</w:t>
      </w:r>
      <w:r w:rsidR="00437336" w:rsidRPr="00437336">
        <w:rPr>
          <w:lang w:val="fr-FR"/>
        </w:rPr>
        <w:t>’</w:t>
      </w:r>
      <w:r w:rsidRPr="00437336">
        <w:rPr>
          <w:lang w:val="fr-FR"/>
        </w:rPr>
        <w:t>enfant puisse rejoindre son parent ou avoir un contact avec lui ; elles englobent également l</w:t>
      </w:r>
      <w:r w:rsidR="00437336" w:rsidRPr="00437336">
        <w:rPr>
          <w:lang w:val="fr-FR"/>
        </w:rPr>
        <w:t>’</w:t>
      </w:r>
      <w:r w:rsidRPr="00437336">
        <w:rPr>
          <w:lang w:val="fr-FR"/>
        </w:rPr>
        <w:t xml:space="preserve">ensemble des mesures préparatoires permettant de parvenir à ce résultat (voir, </w:t>
      </w:r>
      <w:r w:rsidRPr="00437336">
        <w:rPr>
          <w:i/>
          <w:lang w:val="fr-FR"/>
        </w:rPr>
        <w:t>mutatis mutandis</w:t>
      </w:r>
      <w:r w:rsidRPr="00437336">
        <w:rPr>
          <w:lang w:val="fr-FR"/>
        </w:rPr>
        <w:t xml:space="preserve">, </w:t>
      </w:r>
      <w:r w:rsidRPr="00437336">
        <w:rPr>
          <w:i/>
          <w:lang w:val="fr-FR"/>
        </w:rPr>
        <w:t>Kosmopoulou c. Grèce</w:t>
      </w:r>
      <w:r w:rsidRPr="00437336">
        <w:rPr>
          <w:lang w:val="fr-FR"/>
        </w:rPr>
        <w:t>, n</w:t>
      </w:r>
      <w:r w:rsidR="000C368D" w:rsidRPr="00437336">
        <w:rPr>
          <w:vertAlign w:val="superscript"/>
          <w:lang w:val="fr-FR"/>
        </w:rPr>
        <w:t>o</w:t>
      </w:r>
      <w:r w:rsidR="00437336" w:rsidRPr="00437336">
        <w:rPr>
          <w:lang w:val="fr-FR"/>
        </w:rPr>
        <w:t> </w:t>
      </w:r>
      <w:r w:rsidRPr="00437336">
        <w:rPr>
          <w:lang w:val="fr-FR"/>
        </w:rPr>
        <w:t xml:space="preserve">60457/00, § 45, 5 février 2004, </w:t>
      </w:r>
      <w:r w:rsidRPr="00437336">
        <w:rPr>
          <w:i/>
          <w:lang w:val="fr-FR"/>
        </w:rPr>
        <w:t>Amanalachioai c. Roumanie</w:t>
      </w:r>
      <w:r w:rsidRPr="00437336">
        <w:rPr>
          <w:lang w:val="fr-FR"/>
        </w:rPr>
        <w:t>, n</w:t>
      </w:r>
      <w:r w:rsidR="000C368D" w:rsidRPr="00437336">
        <w:rPr>
          <w:vertAlign w:val="superscript"/>
          <w:lang w:val="fr-FR"/>
        </w:rPr>
        <w:t>o</w:t>
      </w:r>
      <w:r w:rsidRPr="00437336">
        <w:rPr>
          <w:lang w:val="fr-FR"/>
        </w:rPr>
        <w:t xml:space="preserve"> 4023/04, § 95, 26 mai 2009, </w:t>
      </w:r>
      <w:r w:rsidRPr="00437336">
        <w:rPr>
          <w:i/>
          <w:lang w:val="fr-FR"/>
        </w:rPr>
        <w:t>Ignaccolo</w:t>
      </w:r>
      <w:r w:rsidRPr="00437336">
        <w:rPr>
          <w:i/>
          <w:lang w:val="fr-FR"/>
        </w:rPr>
        <w:noBreakHyphen/>
        <w:t>Zenide</w:t>
      </w:r>
      <w:r w:rsidRPr="00437336">
        <w:rPr>
          <w:lang w:val="fr-FR"/>
        </w:rPr>
        <w:t xml:space="preserve">, précité, §§ 105 et 112, et </w:t>
      </w:r>
      <w:r w:rsidRPr="00437336">
        <w:rPr>
          <w:i/>
          <w:lang w:val="fr-FR"/>
        </w:rPr>
        <w:t>Sylvester</w:t>
      </w:r>
      <w:r w:rsidRPr="00437336">
        <w:rPr>
          <w:lang w:val="fr-FR"/>
        </w:rPr>
        <w:t>, précité, § 70).</w:t>
      </w:r>
    </w:p>
    <w:p w:rsidR="005D0B42" w:rsidRPr="00437336" w:rsidRDefault="005D0B42"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63</w:t>
      </w:r>
      <w:r w:rsidRPr="00437336">
        <w:rPr>
          <w:lang w:val="fr-FR"/>
        </w:rPr>
        <w:fldChar w:fldCharType="end"/>
      </w:r>
      <w:r w:rsidRPr="00437336">
        <w:rPr>
          <w:lang w:val="fr-FR"/>
        </w:rPr>
        <w:t>.  En outre, la Cour rappelle que, pour être adéquates, les mesures propres à réunir le parent et son enfant doivent être mises en place rapidement, car l</w:t>
      </w:r>
      <w:r w:rsidR="00437336" w:rsidRPr="00437336">
        <w:rPr>
          <w:lang w:val="fr-FR"/>
        </w:rPr>
        <w:t>’</w:t>
      </w:r>
      <w:r w:rsidRPr="00437336">
        <w:rPr>
          <w:lang w:val="fr-FR"/>
        </w:rPr>
        <w:t xml:space="preserve">écoulement du temps peut avoir des conséquences </w:t>
      </w:r>
      <w:r w:rsidRPr="00437336">
        <w:rPr>
          <w:lang w:val="fr-FR"/>
        </w:rPr>
        <w:lastRenderedPageBreak/>
        <w:t>irrémédiables pour les relations entre l</w:t>
      </w:r>
      <w:r w:rsidR="00437336" w:rsidRPr="00437336">
        <w:rPr>
          <w:lang w:val="fr-FR"/>
        </w:rPr>
        <w:t>’</w:t>
      </w:r>
      <w:r w:rsidRPr="00437336">
        <w:rPr>
          <w:lang w:val="fr-FR"/>
        </w:rPr>
        <w:t xml:space="preserve">enfant et celui des parents qui ne vit pas avec lui (voir, </w:t>
      </w:r>
      <w:r w:rsidRPr="00437336">
        <w:rPr>
          <w:i/>
          <w:iCs/>
          <w:lang w:val="fr-FR"/>
        </w:rPr>
        <w:t>mutatis mutandis</w:t>
      </w:r>
      <w:r w:rsidRPr="00437336">
        <w:rPr>
          <w:lang w:val="fr-FR"/>
        </w:rPr>
        <w:t xml:space="preserve">, </w:t>
      </w:r>
      <w:r w:rsidRPr="00437336">
        <w:rPr>
          <w:i/>
          <w:iCs/>
          <w:lang w:val="fr-FR"/>
        </w:rPr>
        <w:t>Ignaccolo-Zenide</w:t>
      </w:r>
      <w:r w:rsidRPr="00437336">
        <w:rPr>
          <w:lang w:val="fr-FR"/>
        </w:rPr>
        <w:t xml:space="preserve">, précité, § 102, </w:t>
      </w:r>
      <w:r w:rsidRPr="00437336">
        <w:rPr>
          <w:i/>
          <w:iCs/>
          <w:lang w:val="fr-FR"/>
        </w:rPr>
        <w:t>Maire c. Portugal</w:t>
      </w:r>
      <w:r w:rsidRPr="00437336">
        <w:rPr>
          <w:lang w:val="fr-FR"/>
        </w:rPr>
        <w:t>, n</w:t>
      </w:r>
      <w:r w:rsidR="000C368D" w:rsidRPr="00437336">
        <w:rPr>
          <w:vertAlign w:val="superscript"/>
          <w:lang w:val="fr-FR"/>
        </w:rPr>
        <w:t>o</w:t>
      </w:r>
      <w:r w:rsidRPr="00437336">
        <w:rPr>
          <w:lang w:val="fr-FR"/>
        </w:rPr>
        <w:t> 48206/99, § 74, CEDH 2003</w:t>
      </w:r>
      <w:r w:rsidRPr="00437336">
        <w:rPr>
          <w:lang w:val="fr-FR"/>
        </w:rPr>
        <w:noBreakHyphen/>
        <w:t xml:space="preserve">VII, </w:t>
      </w:r>
      <w:r w:rsidRPr="00437336">
        <w:rPr>
          <w:i/>
          <w:iCs/>
          <w:lang w:val="fr-FR"/>
        </w:rPr>
        <w:t>Pini et autres c. Roumanie</w:t>
      </w:r>
      <w:r w:rsidRPr="00437336">
        <w:rPr>
          <w:lang w:val="fr-FR"/>
        </w:rPr>
        <w:t>, n</w:t>
      </w:r>
      <w:r w:rsidRPr="00437336">
        <w:rPr>
          <w:vertAlign w:val="superscript"/>
          <w:lang w:val="fr-FR"/>
        </w:rPr>
        <w:t>os </w:t>
      </w:r>
      <w:r w:rsidRPr="00437336">
        <w:rPr>
          <w:lang w:val="fr-FR"/>
        </w:rPr>
        <w:t>78028/01 et 78030/01, § 175, CEDH 2004</w:t>
      </w:r>
      <w:r w:rsidRPr="00437336">
        <w:rPr>
          <w:lang w:val="fr-FR"/>
        </w:rPr>
        <w:noBreakHyphen/>
        <w:t xml:space="preserve">V (extraits), </w:t>
      </w:r>
      <w:r w:rsidRPr="00437336">
        <w:rPr>
          <w:i/>
          <w:iCs/>
          <w:lang w:val="fr-FR"/>
        </w:rPr>
        <w:t>Bianchi c. Suisse</w:t>
      </w:r>
      <w:r w:rsidRPr="00437336">
        <w:rPr>
          <w:lang w:val="fr-FR"/>
        </w:rPr>
        <w:t>, n</w:t>
      </w:r>
      <w:r w:rsidR="000C368D" w:rsidRPr="00437336">
        <w:rPr>
          <w:vertAlign w:val="superscript"/>
          <w:lang w:val="fr-FR"/>
        </w:rPr>
        <w:t>o</w:t>
      </w:r>
      <w:r w:rsidRPr="00437336">
        <w:rPr>
          <w:lang w:val="fr-FR"/>
        </w:rPr>
        <w:t xml:space="preserve"> 7548/04, § 85, 22 juin 2006, et </w:t>
      </w:r>
      <w:r w:rsidRPr="00437336">
        <w:rPr>
          <w:i/>
          <w:iCs/>
          <w:lang w:val="fr-FR"/>
        </w:rPr>
        <w:t>Mincheva c. Bulgarie</w:t>
      </w:r>
      <w:r w:rsidRPr="00437336">
        <w:rPr>
          <w:lang w:val="fr-FR"/>
        </w:rPr>
        <w:t>, n</w:t>
      </w:r>
      <w:r w:rsidR="000C368D" w:rsidRPr="00437336">
        <w:rPr>
          <w:vertAlign w:val="superscript"/>
          <w:lang w:val="fr-FR"/>
        </w:rPr>
        <w:t>o</w:t>
      </w:r>
      <w:r w:rsidR="00437336" w:rsidRPr="00437336">
        <w:rPr>
          <w:lang w:val="fr-FR"/>
        </w:rPr>
        <w:t> 21558/03, § 84, 2 </w:t>
      </w:r>
      <w:r w:rsidRPr="00437336">
        <w:rPr>
          <w:lang w:val="fr-FR"/>
        </w:rPr>
        <w:t>septembre 2010).</w:t>
      </w:r>
    </w:p>
    <w:p w:rsidR="00437336" w:rsidRPr="00437336" w:rsidRDefault="005D0B42"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64</w:t>
      </w:r>
      <w:r w:rsidRPr="00437336">
        <w:rPr>
          <w:lang w:val="fr-FR"/>
        </w:rPr>
        <w:fldChar w:fldCharType="end"/>
      </w:r>
      <w:r w:rsidRPr="00437336">
        <w:rPr>
          <w:lang w:val="fr-FR"/>
        </w:rPr>
        <w:t>.  La Cour rappelle que le fait que les efforts des autorités ont été vains ne mène pas automatiquement à la conclusion que l</w:t>
      </w:r>
      <w:r w:rsidR="00437336" w:rsidRPr="00437336">
        <w:rPr>
          <w:lang w:val="fr-FR"/>
        </w:rPr>
        <w:t>’</w:t>
      </w:r>
      <w:r w:rsidRPr="00437336">
        <w:rPr>
          <w:lang w:val="fr-FR"/>
        </w:rPr>
        <w:t>État a manqué aux obligations positives qui découlent pour lui de l</w:t>
      </w:r>
      <w:r w:rsidR="00437336" w:rsidRPr="00437336">
        <w:rPr>
          <w:lang w:val="fr-FR"/>
        </w:rPr>
        <w:t>’</w:t>
      </w:r>
      <w:r w:rsidRPr="00437336">
        <w:rPr>
          <w:lang w:val="fr-FR"/>
        </w:rPr>
        <w:t xml:space="preserve">article 8 de la Convention (voir, </w:t>
      </w:r>
      <w:r w:rsidRPr="00437336">
        <w:rPr>
          <w:i/>
          <w:iCs/>
          <w:lang w:val="fr-FR"/>
        </w:rPr>
        <w:t>mutatis mutandis</w:t>
      </w:r>
      <w:r w:rsidRPr="00437336">
        <w:rPr>
          <w:lang w:val="fr-FR"/>
        </w:rPr>
        <w:t>,</w:t>
      </w:r>
      <w:r w:rsidRPr="00437336">
        <w:rPr>
          <w:i/>
          <w:iCs/>
          <w:lang w:val="fr-FR"/>
        </w:rPr>
        <w:t xml:space="preserve"> Mihailova</w:t>
      </w:r>
      <w:r w:rsidRPr="00437336">
        <w:rPr>
          <w:lang w:val="fr-FR"/>
        </w:rPr>
        <w:t>, précité, § 82). En effet, l</w:t>
      </w:r>
      <w:r w:rsidR="00437336" w:rsidRPr="00437336">
        <w:rPr>
          <w:lang w:val="fr-FR"/>
        </w:rPr>
        <w:t>’</w:t>
      </w:r>
      <w:r w:rsidRPr="00437336">
        <w:rPr>
          <w:lang w:val="fr-FR"/>
        </w:rPr>
        <w:t>obligation pour les autorités nationales de prendre des mesures propres à réunir l</w:t>
      </w:r>
      <w:r w:rsidR="00437336" w:rsidRPr="00437336">
        <w:rPr>
          <w:lang w:val="fr-FR"/>
        </w:rPr>
        <w:t>’</w:t>
      </w:r>
      <w:r w:rsidRPr="00437336">
        <w:rPr>
          <w:lang w:val="fr-FR"/>
        </w:rPr>
        <w:t>enfant et le parent avec lequel il ne vit pas n</w:t>
      </w:r>
      <w:r w:rsidR="00437336" w:rsidRPr="00437336">
        <w:rPr>
          <w:lang w:val="fr-FR"/>
        </w:rPr>
        <w:t>’</w:t>
      </w:r>
      <w:r w:rsidRPr="00437336">
        <w:rPr>
          <w:lang w:val="fr-FR"/>
        </w:rPr>
        <w:t>est pas absolue, et la compréhension et la coopération de l</w:t>
      </w:r>
      <w:r w:rsidR="00437336" w:rsidRPr="00437336">
        <w:rPr>
          <w:lang w:val="fr-FR"/>
        </w:rPr>
        <w:t>’</w:t>
      </w:r>
      <w:r w:rsidRPr="00437336">
        <w:rPr>
          <w:lang w:val="fr-FR"/>
        </w:rPr>
        <w:t>ensemble des personnes concernées constituent toujours un facteur important. Si les autorités nationales doivent s</w:t>
      </w:r>
      <w:r w:rsidR="00437336" w:rsidRPr="00437336">
        <w:rPr>
          <w:lang w:val="fr-FR"/>
        </w:rPr>
        <w:t>’</w:t>
      </w:r>
      <w:r w:rsidRPr="00437336">
        <w:rPr>
          <w:lang w:val="fr-FR"/>
        </w:rPr>
        <w:t>efforcer de faciliter pareille collaboration, une obligation pour elles de recourir à la coercition en la matière ne saurait être que limitée : il leur faut tenir compte des intérêts et des droits et libertés de ces mêmes personnes, et, notamment, des intérêts supérieurs de l</w:t>
      </w:r>
      <w:r w:rsidR="00437336" w:rsidRPr="00437336">
        <w:rPr>
          <w:lang w:val="fr-FR"/>
        </w:rPr>
        <w:t>’</w:t>
      </w:r>
      <w:r w:rsidRPr="00437336">
        <w:rPr>
          <w:lang w:val="fr-FR"/>
        </w:rPr>
        <w:t>enfant et des droits qui sont conférés à ce dernier par l</w:t>
      </w:r>
      <w:r w:rsidR="00437336" w:rsidRPr="00437336">
        <w:rPr>
          <w:lang w:val="fr-FR"/>
        </w:rPr>
        <w:t>’</w:t>
      </w:r>
      <w:r w:rsidRPr="00437336">
        <w:rPr>
          <w:lang w:val="fr-FR"/>
        </w:rPr>
        <w:t>article 8 de la Convention (</w:t>
      </w:r>
      <w:r w:rsidRPr="00437336">
        <w:rPr>
          <w:i/>
          <w:iCs/>
          <w:lang w:val="fr-FR"/>
        </w:rPr>
        <w:t>Voleský c. République tchèque</w:t>
      </w:r>
      <w:r w:rsidRPr="00437336">
        <w:rPr>
          <w:lang w:val="fr-FR"/>
        </w:rPr>
        <w:t>, n</w:t>
      </w:r>
      <w:r w:rsidRPr="00437336">
        <w:rPr>
          <w:vertAlign w:val="superscript"/>
          <w:lang w:val="fr-FR"/>
        </w:rPr>
        <w:t>o</w:t>
      </w:r>
      <w:r w:rsidRPr="00437336">
        <w:rPr>
          <w:lang w:val="fr-FR"/>
        </w:rPr>
        <w:t> 63267/00, §</w:t>
      </w:r>
      <w:r w:rsidR="0037257C" w:rsidRPr="00437336">
        <w:rPr>
          <w:lang w:val="fr-FR"/>
        </w:rPr>
        <w:t xml:space="preserve"> </w:t>
      </w:r>
      <w:r w:rsidR="00437336" w:rsidRPr="00437336">
        <w:rPr>
          <w:lang w:val="fr-FR"/>
        </w:rPr>
        <w:t>118, 29 </w:t>
      </w:r>
      <w:r w:rsidRPr="00437336">
        <w:rPr>
          <w:lang w:val="fr-FR"/>
        </w:rPr>
        <w:t>juin 2004). Comme la jurisprudence de la Cour le reconnaît de manière constante, la plus grande prudence s</w:t>
      </w:r>
      <w:r w:rsidR="00437336" w:rsidRPr="00437336">
        <w:rPr>
          <w:lang w:val="fr-FR"/>
        </w:rPr>
        <w:t>’</w:t>
      </w:r>
      <w:r w:rsidRPr="00437336">
        <w:rPr>
          <w:lang w:val="fr-FR"/>
        </w:rPr>
        <w:t>impose lorsqu</w:t>
      </w:r>
      <w:r w:rsidR="00437336" w:rsidRPr="00437336">
        <w:rPr>
          <w:lang w:val="fr-FR"/>
        </w:rPr>
        <w:t>’</w:t>
      </w:r>
      <w:r w:rsidRPr="00437336">
        <w:rPr>
          <w:lang w:val="fr-FR"/>
        </w:rPr>
        <w:t>il s</w:t>
      </w:r>
      <w:r w:rsidR="00437336" w:rsidRPr="00437336">
        <w:rPr>
          <w:lang w:val="fr-FR"/>
        </w:rPr>
        <w:t>’</w:t>
      </w:r>
      <w:r w:rsidRPr="00437336">
        <w:rPr>
          <w:lang w:val="fr-FR"/>
        </w:rPr>
        <w:t>agit de recourir à la coercition en ce domaine délicat (</w:t>
      </w:r>
      <w:r w:rsidR="00C7753F" w:rsidRPr="00437336">
        <w:rPr>
          <w:i/>
          <w:iCs/>
          <w:lang w:val="fr-FR"/>
        </w:rPr>
        <w:t>Mitrova et Savik</w:t>
      </w:r>
      <w:r w:rsidR="00C7753F" w:rsidRPr="00437336">
        <w:rPr>
          <w:lang w:val="fr-FR"/>
        </w:rPr>
        <w:t xml:space="preserve"> </w:t>
      </w:r>
      <w:r w:rsidR="00C7753F" w:rsidRPr="00437336">
        <w:rPr>
          <w:i/>
          <w:iCs/>
          <w:lang w:val="fr-FR"/>
        </w:rPr>
        <w:t>c. l</w:t>
      </w:r>
      <w:r w:rsidR="00437336" w:rsidRPr="00437336">
        <w:rPr>
          <w:i/>
          <w:iCs/>
          <w:lang w:val="fr-FR"/>
        </w:rPr>
        <w:t>’</w:t>
      </w:r>
      <w:r w:rsidR="00C7753F" w:rsidRPr="00437336">
        <w:rPr>
          <w:i/>
          <w:iCs/>
          <w:lang w:val="fr-FR"/>
        </w:rPr>
        <w:t>ex-République yougoslave de Macédoine</w:t>
      </w:r>
      <w:r w:rsidR="00C7753F" w:rsidRPr="00437336">
        <w:rPr>
          <w:lang w:val="fr-FR"/>
        </w:rPr>
        <w:t>, n</w:t>
      </w:r>
      <w:r w:rsidR="00C7753F" w:rsidRPr="00437336">
        <w:rPr>
          <w:vertAlign w:val="superscript"/>
          <w:lang w:val="fr-FR"/>
        </w:rPr>
        <w:t>o </w:t>
      </w:r>
      <w:r w:rsidR="00C7753F" w:rsidRPr="00437336">
        <w:rPr>
          <w:lang w:val="fr-FR"/>
        </w:rPr>
        <w:t xml:space="preserve">42534/09, § 77, 11 février 2016, </w:t>
      </w:r>
      <w:r w:rsidR="00437336" w:rsidRPr="00437336">
        <w:rPr>
          <w:i/>
          <w:iCs/>
          <w:lang w:val="fr-FR"/>
        </w:rPr>
        <w:t>Reigado </w:t>
      </w:r>
      <w:r w:rsidR="0037257C" w:rsidRPr="00437336">
        <w:rPr>
          <w:i/>
          <w:iCs/>
          <w:lang w:val="fr-FR"/>
        </w:rPr>
        <w:t xml:space="preserve">Ramos c. </w:t>
      </w:r>
      <w:r w:rsidRPr="00437336">
        <w:rPr>
          <w:i/>
          <w:iCs/>
          <w:lang w:val="fr-FR"/>
        </w:rPr>
        <w:t>Portugal</w:t>
      </w:r>
      <w:r w:rsidRPr="00437336">
        <w:rPr>
          <w:lang w:val="fr-FR"/>
        </w:rPr>
        <w:t>, n</w:t>
      </w:r>
      <w:r w:rsidRPr="00437336">
        <w:rPr>
          <w:vertAlign w:val="superscript"/>
          <w:lang w:val="fr-FR"/>
        </w:rPr>
        <w:t>o</w:t>
      </w:r>
      <w:r w:rsidR="0037257C" w:rsidRPr="00437336">
        <w:rPr>
          <w:lang w:val="fr-FR"/>
        </w:rPr>
        <w:t xml:space="preserve"> 73229/01, § </w:t>
      </w:r>
      <w:r w:rsidRPr="00437336">
        <w:rPr>
          <w:lang w:val="fr-FR"/>
        </w:rPr>
        <w:t>53, 22</w:t>
      </w:r>
      <w:r w:rsidR="0037257C" w:rsidRPr="00437336">
        <w:rPr>
          <w:lang w:val="fr-FR"/>
        </w:rPr>
        <w:t xml:space="preserve"> </w:t>
      </w:r>
      <w:r w:rsidRPr="00437336">
        <w:rPr>
          <w:lang w:val="fr-FR"/>
        </w:rPr>
        <w:t>novembre 2005) et l</w:t>
      </w:r>
      <w:r w:rsidR="00437336" w:rsidRPr="00437336">
        <w:rPr>
          <w:lang w:val="fr-FR"/>
        </w:rPr>
        <w:t>’</w:t>
      </w:r>
      <w:r w:rsidRPr="00437336">
        <w:rPr>
          <w:lang w:val="fr-FR"/>
        </w:rPr>
        <w:t>article 8 de la Convention ne saurait autoriser un parent à faire prendre des mesures préjudiciables à la santé et au développement de l</w:t>
      </w:r>
      <w:r w:rsidR="00437336" w:rsidRPr="00437336">
        <w:rPr>
          <w:lang w:val="fr-FR"/>
        </w:rPr>
        <w:t>’</w:t>
      </w:r>
      <w:r w:rsidRPr="00437336">
        <w:rPr>
          <w:lang w:val="fr-FR"/>
        </w:rPr>
        <w:t>enfant (</w:t>
      </w:r>
      <w:r w:rsidRPr="00437336">
        <w:rPr>
          <w:i/>
          <w:iCs/>
          <w:lang w:val="fr-FR"/>
        </w:rPr>
        <w:t>Elsholz c. Allemagne</w:t>
      </w:r>
      <w:r w:rsidRPr="00437336">
        <w:rPr>
          <w:lang w:val="fr-FR"/>
        </w:rPr>
        <w:t xml:space="preserve"> [GC], nº 25735/94, §§ 49</w:t>
      </w:r>
      <w:r w:rsidRPr="00437336">
        <w:rPr>
          <w:lang w:val="fr-FR"/>
        </w:rPr>
        <w:noBreakHyphen/>
        <w:t>50, CEDH 2000</w:t>
      </w:r>
      <w:r w:rsidRPr="00437336">
        <w:rPr>
          <w:lang w:val="fr-FR"/>
        </w:rPr>
        <w:noBreakHyphen/>
        <w:t xml:space="preserve">VIII). </w:t>
      </w:r>
      <w:r w:rsidR="00C17940" w:rsidRPr="00437336">
        <w:rPr>
          <w:lang w:val="fr-FR"/>
        </w:rPr>
        <w:t>La tâche de la Cour en l</w:t>
      </w:r>
      <w:r w:rsidR="00437336" w:rsidRPr="00437336">
        <w:rPr>
          <w:lang w:val="fr-FR"/>
        </w:rPr>
        <w:t>’</w:t>
      </w:r>
      <w:r w:rsidR="00C17940" w:rsidRPr="00437336">
        <w:rPr>
          <w:lang w:val="fr-FR"/>
        </w:rPr>
        <w:t>occurrence</w:t>
      </w:r>
      <w:r w:rsidRPr="00437336">
        <w:rPr>
          <w:lang w:val="fr-FR"/>
        </w:rPr>
        <w:t xml:space="preserve"> consiste donc à savoir si les autorités nationales ont pris, pour faciliter les visites, toutes les mesures nécessaires que l</w:t>
      </w:r>
      <w:r w:rsidR="00437336" w:rsidRPr="00437336">
        <w:rPr>
          <w:lang w:val="fr-FR"/>
        </w:rPr>
        <w:t>’</w:t>
      </w:r>
      <w:r w:rsidRPr="00437336">
        <w:rPr>
          <w:lang w:val="fr-FR"/>
        </w:rPr>
        <w:t xml:space="preserve">on pouvait </w:t>
      </w:r>
      <w:r w:rsidR="00C17940" w:rsidRPr="00437336">
        <w:rPr>
          <w:lang w:val="fr-FR"/>
        </w:rPr>
        <w:t>raisonnablement exiger d</w:t>
      </w:r>
      <w:r w:rsidR="00437336" w:rsidRPr="00437336">
        <w:rPr>
          <w:lang w:val="fr-FR"/>
        </w:rPr>
        <w:t>’</w:t>
      </w:r>
      <w:r w:rsidR="00C17940" w:rsidRPr="00437336">
        <w:rPr>
          <w:lang w:val="fr-FR"/>
        </w:rPr>
        <w:t xml:space="preserve">elles </w:t>
      </w:r>
      <w:r w:rsidRPr="00437336">
        <w:rPr>
          <w:lang w:val="fr-FR"/>
        </w:rPr>
        <w:t>pour maintenir les liens entre le requérant et son fils (</w:t>
      </w:r>
      <w:r w:rsidRPr="00437336">
        <w:rPr>
          <w:i/>
          <w:lang w:val="fr-FR"/>
        </w:rPr>
        <w:t>Manuello et Nevi c.</w:t>
      </w:r>
      <w:r w:rsidRPr="00437336">
        <w:rPr>
          <w:lang w:val="fr-FR"/>
        </w:rPr>
        <w:t xml:space="preserve"> Italie, n</w:t>
      </w:r>
      <w:r w:rsidR="000C368D" w:rsidRPr="00437336">
        <w:rPr>
          <w:vertAlign w:val="superscript"/>
          <w:lang w:val="fr-FR"/>
        </w:rPr>
        <w:t>o</w:t>
      </w:r>
      <w:r w:rsidR="000F6DA4" w:rsidRPr="00437336">
        <w:rPr>
          <w:lang w:val="fr-FR"/>
        </w:rPr>
        <w:t xml:space="preserve"> 107/10, § 52, 20 janvier </w:t>
      </w:r>
      <w:r w:rsidRPr="00437336">
        <w:rPr>
          <w:lang w:val="fr-FR"/>
        </w:rPr>
        <w:t>2015) et à examiner la manière dont les autorités son</w:t>
      </w:r>
      <w:r w:rsidR="00C17940" w:rsidRPr="00437336">
        <w:rPr>
          <w:lang w:val="fr-FR"/>
        </w:rPr>
        <w:t>t intervenues pour faciliter l</w:t>
      </w:r>
      <w:r w:rsidR="00437336" w:rsidRPr="00437336">
        <w:rPr>
          <w:lang w:val="fr-FR"/>
        </w:rPr>
        <w:t>’</w:t>
      </w:r>
      <w:r w:rsidRPr="00437336">
        <w:rPr>
          <w:lang w:val="fr-FR"/>
        </w:rPr>
        <w:t>exercice du droit de visite du requérant tel que défini par les décisions de justice (</w:t>
      </w:r>
      <w:r w:rsidRPr="00437336">
        <w:rPr>
          <w:i/>
          <w:lang w:val="fr-FR"/>
        </w:rPr>
        <w:t>Hokkanen c. Finlande</w:t>
      </w:r>
      <w:r w:rsidR="0037257C" w:rsidRPr="00437336">
        <w:rPr>
          <w:lang w:val="fr-FR"/>
        </w:rPr>
        <w:t xml:space="preserve">, 23 septembre </w:t>
      </w:r>
      <w:r w:rsidRPr="00437336">
        <w:rPr>
          <w:lang w:val="fr-FR"/>
        </w:rPr>
        <w:t>1994, § 58, série A n</w:t>
      </w:r>
      <w:r w:rsidR="000C368D" w:rsidRPr="00437336">
        <w:rPr>
          <w:vertAlign w:val="superscript"/>
          <w:lang w:val="fr-FR"/>
        </w:rPr>
        <w:t>o</w:t>
      </w:r>
      <w:r w:rsidRPr="00437336">
        <w:rPr>
          <w:lang w:val="fr-FR"/>
        </w:rPr>
        <w:t>299</w:t>
      </w:r>
      <w:r w:rsidRPr="00437336">
        <w:rPr>
          <w:lang w:val="fr-FR"/>
        </w:rPr>
        <w:noBreakHyphen/>
        <w:t xml:space="preserve">A, et </w:t>
      </w:r>
      <w:r w:rsidRPr="00437336">
        <w:rPr>
          <w:i/>
          <w:lang w:val="fr-FR"/>
        </w:rPr>
        <w:t>Kuppinger c. Allemagne,</w:t>
      </w:r>
      <w:r w:rsidRPr="00437336">
        <w:rPr>
          <w:lang w:val="fr-FR"/>
        </w:rPr>
        <w:t xml:space="preserve"> n</w:t>
      </w:r>
      <w:r w:rsidR="000C368D" w:rsidRPr="00437336">
        <w:rPr>
          <w:vertAlign w:val="superscript"/>
          <w:lang w:val="fr-FR"/>
        </w:rPr>
        <w:t>o</w:t>
      </w:r>
      <w:r w:rsidR="0037257C" w:rsidRPr="00437336">
        <w:rPr>
          <w:lang w:val="fr-FR"/>
        </w:rPr>
        <w:t xml:space="preserve"> </w:t>
      </w:r>
      <w:r w:rsidRPr="00437336">
        <w:rPr>
          <w:lang w:val="fr-FR"/>
        </w:rPr>
        <w:t>62198/11, § 105, 15 janvier 2015).</w:t>
      </w:r>
    </w:p>
    <w:p w:rsidR="0017122A" w:rsidRPr="00437336" w:rsidRDefault="00F54C21" w:rsidP="00437336">
      <w:pPr>
        <w:pStyle w:val="ECHRHeading4"/>
        <w:rPr>
          <w:lang w:val="fr-FR"/>
        </w:rPr>
      </w:pPr>
      <w:r w:rsidRPr="00437336">
        <w:rPr>
          <w:lang w:val="fr-FR"/>
        </w:rPr>
        <w:t>b)  Application de ces principes à la présente espèce</w:t>
      </w:r>
    </w:p>
    <w:p w:rsidR="00CD1297" w:rsidRPr="00437336" w:rsidRDefault="00D668C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65</w:t>
      </w:r>
      <w:r w:rsidRPr="00437336">
        <w:rPr>
          <w:lang w:val="fr-FR"/>
        </w:rPr>
        <w:fldChar w:fldCharType="end"/>
      </w:r>
      <w:r w:rsidRPr="00437336">
        <w:rPr>
          <w:lang w:val="fr-FR"/>
        </w:rPr>
        <w:t>.  </w:t>
      </w:r>
      <w:r w:rsidR="0078534A" w:rsidRPr="00437336">
        <w:rPr>
          <w:lang w:val="fr-FR"/>
        </w:rPr>
        <w:t>La Cour estime</w:t>
      </w:r>
      <w:r w:rsidR="00F54C21" w:rsidRPr="00437336">
        <w:rPr>
          <w:lang w:val="fr-FR"/>
        </w:rPr>
        <w:t xml:space="preserve"> </w:t>
      </w:r>
      <w:r w:rsidR="00D14E13" w:rsidRPr="00437336">
        <w:rPr>
          <w:lang w:val="fr-FR"/>
        </w:rPr>
        <w:t xml:space="preserve">nécessaire </w:t>
      </w:r>
      <w:r w:rsidR="0078534A" w:rsidRPr="00437336">
        <w:rPr>
          <w:lang w:val="fr-FR"/>
        </w:rPr>
        <w:t>d</w:t>
      </w:r>
      <w:r w:rsidR="00437336" w:rsidRPr="00437336">
        <w:rPr>
          <w:lang w:val="fr-FR"/>
        </w:rPr>
        <w:t>’</w:t>
      </w:r>
      <w:r w:rsidR="00D14E13" w:rsidRPr="00437336">
        <w:rPr>
          <w:lang w:val="fr-FR"/>
        </w:rPr>
        <w:t>examiner les griefs du requérant sur deux période</w:t>
      </w:r>
      <w:r w:rsidR="0078534A" w:rsidRPr="00437336">
        <w:rPr>
          <w:lang w:val="fr-FR"/>
        </w:rPr>
        <w:t>s</w:t>
      </w:r>
      <w:r w:rsidR="00D14E13" w:rsidRPr="00437336">
        <w:rPr>
          <w:lang w:val="fr-FR"/>
        </w:rPr>
        <w:t xml:space="preserve"> distinctes :</w:t>
      </w:r>
      <w:r w:rsidR="00500022" w:rsidRPr="00437336">
        <w:rPr>
          <w:lang w:val="fr-FR"/>
        </w:rPr>
        <w:t xml:space="preserve"> la première période de août 200</w:t>
      </w:r>
      <w:r w:rsidR="00C04058" w:rsidRPr="00437336">
        <w:rPr>
          <w:lang w:val="fr-FR"/>
        </w:rPr>
        <w:t>6 à novembre </w:t>
      </w:r>
      <w:r w:rsidR="00D14E13" w:rsidRPr="00437336">
        <w:rPr>
          <w:lang w:val="fr-FR"/>
        </w:rPr>
        <w:t>2010, et la deuxième</w:t>
      </w:r>
      <w:r w:rsidR="0078534A" w:rsidRPr="00437336">
        <w:rPr>
          <w:lang w:val="fr-FR"/>
        </w:rPr>
        <w:t xml:space="preserve"> période</w:t>
      </w:r>
      <w:r w:rsidR="00437336" w:rsidRPr="00437336">
        <w:rPr>
          <w:lang w:val="fr-FR"/>
        </w:rPr>
        <w:t xml:space="preserve"> </w:t>
      </w:r>
      <w:r w:rsidR="00D14E13" w:rsidRPr="00437336">
        <w:rPr>
          <w:lang w:val="fr-FR"/>
        </w:rPr>
        <w:t>de novembre 2010 à 2016.</w:t>
      </w:r>
    </w:p>
    <w:p w:rsidR="00F54C21" w:rsidRPr="00437336" w:rsidRDefault="00773E1F" w:rsidP="00437336">
      <w:pPr>
        <w:pStyle w:val="ECHRHeading5"/>
        <w:rPr>
          <w:lang w:val="fr-FR"/>
        </w:rPr>
      </w:pPr>
      <w:r w:rsidRPr="00437336">
        <w:rPr>
          <w:lang w:val="fr-FR"/>
        </w:rPr>
        <w:lastRenderedPageBreak/>
        <w:t>i</w:t>
      </w:r>
      <w:r w:rsidR="00ED44DE" w:rsidRPr="00437336">
        <w:rPr>
          <w:lang w:val="fr-FR"/>
        </w:rPr>
        <w:t>.  </w:t>
      </w:r>
      <w:r w:rsidR="00F54C21" w:rsidRPr="00437336">
        <w:rPr>
          <w:lang w:val="fr-FR"/>
        </w:rPr>
        <w:t xml:space="preserve">Période entre </w:t>
      </w:r>
      <w:r w:rsidR="00D14E13" w:rsidRPr="00437336">
        <w:rPr>
          <w:lang w:val="fr-FR"/>
        </w:rPr>
        <w:t xml:space="preserve">août </w:t>
      </w:r>
      <w:r w:rsidR="00F54C21" w:rsidRPr="00437336">
        <w:rPr>
          <w:lang w:val="fr-FR"/>
        </w:rPr>
        <w:t>2006 et novembre 2010</w:t>
      </w:r>
    </w:p>
    <w:p w:rsidR="00F54C21" w:rsidRPr="00437336" w:rsidRDefault="00F54C21"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66</w:t>
      </w:r>
      <w:r w:rsidRPr="00437336">
        <w:rPr>
          <w:lang w:val="fr-FR"/>
        </w:rPr>
        <w:fldChar w:fldCharType="end"/>
      </w:r>
      <w:r w:rsidRPr="00437336">
        <w:rPr>
          <w:lang w:val="fr-FR"/>
        </w:rPr>
        <w:t>.  </w:t>
      </w:r>
      <w:r w:rsidR="00444CA8" w:rsidRPr="00437336">
        <w:rPr>
          <w:lang w:val="fr-FR"/>
        </w:rPr>
        <w:t>L</w:t>
      </w:r>
      <w:r w:rsidRPr="00437336">
        <w:rPr>
          <w:lang w:val="fr-FR"/>
        </w:rPr>
        <w:t>a Cour note tout d</w:t>
      </w:r>
      <w:r w:rsidR="00437336" w:rsidRPr="00437336">
        <w:rPr>
          <w:lang w:val="fr-FR"/>
        </w:rPr>
        <w:t>’</w:t>
      </w:r>
      <w:r w:rsidRPr="00437336">
        <w:rPr>
          <w:lang w:val="fr-FR"/>
        </w:rPr>
        <w:t>abord que, au moment de leur séparation, le requérant et la mère de l</w:t>
      </w:r>
      <w:r w:rsidR="00437336" w:rsidRPr="00437336">
        <w:rPr>
          <w:lang w:val="fr-FR"/>
        </w:rPr>
        <w:t>’</w:t>
      </w:r>
      <w:r w:rsidRPr="00437336">
        <w:rPr>
          <w:lang w:val="fr-FR"/>
        </w:rPr>
        <w:t>enfant n</w:t>
      </w:r>
      <w:r w:rsidR="00437336" w:rsidRPr="00437336">
        <w:rPr>
          <w:lang w:val="fr-FR"/>
        </w:rPr>
        <w:t>’</w:t>
      </w:r>
      <w:r w:rsidRPr="00437336">
        <w:rPr>
          <w:lang w:val="fr-FR"/>
        </w:rPr>
        <w:t>étaient pas parvenus à un accord sur les modalités du droit de visite paternel. Elle observe que la mère de l</w:t>
      </w:r>
      <w:r w:rsidR="00437336" w:rsidRPr="00437336">
        <w:rPr>
          <w:lang w:val="fr-FR"/>
        </w:rPr>
        <w:t>’</w:t>
      </w:r>
      <w:r w:rsidRPr="00437336">
        <w:rPr>
          <w:lang w:val="fr-FR"/>
        </w:rPr>
        <w:t>enfant s</w:t>
      </w:r>
      <w:r w:rsidR="00437336" w:rsidRPr="00437336">
        <w:rPr>
          <w:lang w:val="fr-FR"/>
        </w:rPr>
        <w:t>’</w:t>
      </w:r>
      <w:r w:rsidRPr="00437336">
        <w:rPr>
          <w:lang w:val="fr-FR"/>
        </w:rPr>
        <w:t>est très tôt opposée au droit de visite du requérant.</w:t>
      </w:r>
    </w:p>
    <w:p w:rsidR="00BD40D6" w:rsidRPr="00437336" w:rsidRDefault="00480FF4"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67</w:t>
      </w:r>
      <w:r w:rsidRPr="00437336">
        <w:rPr>
          <w:lang w:val="fr-FR"/>
        </w:rPr>
        <w:fldChar w:fldCharType="end"/>
      </w:r>
      <w:r w:rsidRPr="00437336">
        <w:rPr>
          <w:lang w:val="fr-FR"/>
        </w:rPr>
        <w:t>.  </w:t>
      </w:r>
      <w:r w:rsidR="00BD40D6" w:rsidRPr="00437336">
        <w:rPr>
          <w:lang w:val="fr-FR"/>
        </w:rPr>
        <w:t>La Cour relève que, à partir de 200</w:t>
      </w:r>
      <w:r w:rsidR="00D14E13" w:rsidRPr="00437336">
        <w:rPr>
          <w:lang w:val="fr-FR"/>
        </w:rPr>
        <w:t>7</w:t>
      </w:r>
      <w:r w:rsidR="00BD40D6" w:rsidRPr="00437336">
        <w:rPr>
          <w:lang w:val="fr-FR"/>
        </w:rPr>
        <w:t>, le requérant n</w:t>
      </w:r>
      <w:r w:rsidR="00437336" w:rsidRPr="00437336">
        <w:rPr>
          <w:lang w:val="fr-FR"/>
        </w:rPr>
        <w:t>’</w:t>
      </w:r>
      <w:r w:rsidR="00BD40D6" w:rsidRPr="00437336">
        <w:rPr>
          <w:lang w:val="fr-FR"/>
        </w:rPr>
        <w:t>a cessé de demander au tribunal l</w:t>
      </w:r>
      <w:r w:rsidR="00437336" w:rsidRPr="00437336">
        <w:rPr>
          <w:lang w:val="fr-FR"/>
        </w:rPr>
        <w:t>’</w:t>
      </w:r>
      <w:r w:rsidR="00BD40D6" w:rsidRPr="00437336">
        <w:rPr>
          <w:lang w:val="fr-FR"/>
        </w:rPr>
        <w:t xml:space="preserve">organisation de rencontres </w:t>
      </w:r>
      <w:r w:rsidR="009F7C4A" w:rsidRPr="00437336">
        <w:rPr>
          <w:lang w:val="fr-FR"/>
        </w:rPr>
        <w:t xml:space="preserve">avec </w:t>
      </w:r>
      <w:r w:rsidR="00BD40D6" w:rsidRPr="00437336">
        <w:rPr>
          <w:lang w:val="fr-FR"/>
        </w:rPr>
        <w:t>son fils, mais qu</w:t>
      </w:r>
      <w:r w:rsidR="00437336" w:rsidRPr="00437336">
        <w:rPr>
          <w:lang w:val="fr-FR"/>
        </w:rPr>
        <w:t>’</w:t>
      </w:r>
      <w:r w:rsidR="00BD40D6" w:rsidRPr="00437336">
        <w:rPr>
          <w:lang w:val="fr-FR"/>
        </w:rPr>
        <w:t>il n</w:t>
      </w:r>
      <w:r w:rsidR="00437336" w:rsidRPr="00437336">
        <w:rPr>
          <w:lang w:val="fr-FR"/>
        </w:rPr>
        <w:t>’</w:t>
      </w:r>
      <w:r w:rsidR="00BD40D6" w:rsidRPr="00437336">
        <w:rPr>
          <w:lang w:val="fr-FR"/>
        </w:rPr>
        <w:t>a pu exercer son droit de visite que de manière très limitée en raison de l</w:t>
      </w:r>
      <w:r w:rsidR="00437336" w:rsidRPr="00437336">
        <w:rPr>
          <w:lang w:val="fr-FR"/>
        </w:rPr>
        <w:t>’</w:t>
      </w:r>
      <w:r w:rsidR="00BD40D6" w:rsidRPr="00437336">
        <w:rPr>
          <w:lang w:val="fr-FR"/>
        </w:rPr>
        <w:t>opposition de la mère de l</w:t>
      </w:r>
      <w:r w:rsidR="00437336" w:rsidRPr="00437336">
        <w:rPr>
          <w:lang w:val="fr-FR"/>
        </w:rPr>
        <w:t>’</w:t>
      </w:r>
      <w:r w:rsidR="0037257C" w:rsidRPr="00437336">
        <w:rPr>
          <w:lang w:val="fr-FR"/>
        </w:rPr>
        <w:t>enfant.</w:t>
      </w:r>
    </w:p>
    <w:p w:rsidR="00BD40D6" w:rsidRPr="00437336" w:rsidRDefault="00BD40D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68</w:t>
      </w:r>
      <w:r w:rsidRPr="00437336">
        <w:rPr>
          <w:lang w:val="fr-FR"/>
        </w:rPr>
        <w:fldChar w:fldCharType="end"/>
      </w:r>
      <w:r w:rsidRPr="00437336">
        <w:rPr>
          <w:lang w:val="fr-FR"/>
        </w:rPr>
        <w:t>.  À cet égard, elle constate</w:t>
      </w:r>
      <w:r w:rsidRPr="00437336">
        <w:rPr>
          <w:rFonts w:ascii="Times New Roman" w:hAnsi="Times New Roman" w:cs="Times New Roman"/>
          <w:szCs w:val="24"/>
          <w:lang w:val="fr-FR"/>
        </w:rPr>
        <w:t xml:space="preserve"> que, déjà en 2008, dans leur premier rapport, l</w:t>
      </w:r>
      <w:r w:rsidR="00437336" w:rsidRPr="00437336">
        <w:rPr>
          <w:rFonts w:ascii="Times New Roman" w:hAnsi="Times New Roman" w:cs="Times New Roman"/>
          <w:szCs w:val="24"/>
          <w:lang w:val="fr-FR"/>
        </w:rPr>
        <w:t>’</w:t>
      </w:r>
      <w:r w:rsidR="00A04CB5" w:rsidRPr="00437336">
        <w:rPr>
          <w:rFonts w:ascii="Times New Roman" w:hAnsi="Times New Roman" w:cs="Times New Roman"/>
          <w:szCs w:val="24"/>
          <w:lang w:val="fr-FR"/>
        </w:rPr>
        <w:t>expert</w:t>
      </w:r>
      <w:r w:rsidRPr="00437336">
        <w:rPr>
          <w:rFonts w:ascii="Times New Roman" w:hAnsi="Times New Roman" w:cs="Times New Roman"/>
          <w:szCs w:val="24"/>
          <w:lang w:val="fr-FR"/>
        </w:rPr>
        <w:t xml:space="preserve"> </w:t>
      </w:r>
      <w:r w:rsidR="00480FF4" w:rsidRPr="00437336">
        <w:rPr>
          <w:rFonts w:ascii="Times New Roman" w:hAnsi="Times New Roman" w:cs="Times New Roman"/>
          <w:szCs w:val="24"/>
          <w:lang w:val="fr-FR"/>
        </w:rPr>
        <w:t>avait</w:t>
      </w:r>
      <w:r w:rsidRPr="00437336">
        <w:rPr>
          <w:rFonts w:ascii="Times New Roman" w:hAnsi="Times New Roman" w:cs="Times New Roman"/>
          <w:szCs w:val="24"/>
          <w:lang w:val="fr-FR"/>
        </w:rPr>
        <w:t xml:space="preserve"> observé que la garde de l</w:t>
      </w:r>
      <w:r w:rsidR="00437336" w:rsidRPr="00437336">
        <w:rPr>
          <w:rFonts w:ascii="Times New Roman" w:hAnsi="Times New Roman" w:cs="Times New Roman"/>
          <w:szCs w:val="24"/>
          <w:lang w:val="fr-FR"/>
        </w:rPr>
        <w:t>’</w:t>
      </w:r>
      <w:r w:rsidRPr="00437336">
        <w:rPr>
          <w:rFonts w:ascii="Times New Roman" w:hAnsi="Times New Roman" w:cs="Times New Roman"/>
          <w:szCs w:val="24"/>
          <w:lang w:val="fr-FR"/>
        </w:rPr>
        <w:t xml:space="preserve">enfant </w:t>
      </w:r>
      <w:r w:rsidR="00A04CB5" w:rsidRPr="00437336">
        <w:rPr>
          <w:rFonts w:ascii="Times New Roman" w:hAnsi="Times New Roman" w:cs="Times New Roman"/>
          <w:szCs w:val="24"/>
          <w:lang w:val="fr-FR"/>
        </w:rPr>
        <w:t>devait être</w:t>
      </w:r>
      <w:r w:rsidRPr="00437336">
        <w:rPr>
          <w:rFonts w:ascii="Times New Roman" w:hAnsi="Times New Roman" w:cs="Times New Roman"/>
          <w:szCs w:val="24"/>
          <w:lang w:val="fr-FR"/>
        </w:rPr>
        <w:t xml:space="preserve"> confiée aux deux parents et que l</w:t>
      </w:r>
      <w:r w:rsidR="00437336" w:rsidRPr="00437336">
        <w:rPr>
          <w:rFonts w:ascii="Times New Roman" w:hAnsi="Times New Roman" w:cs="Times New Roman"/>
          <w:szCs w:val="24"/>
          <w:lang w:val="fr-FR"/>
        </w:rPr>
        <w:t>’</w:t>
      </w:r>
      <w:r w:rsidRPr="00437336">
        <w:rPr>
          <w:rFonts w:ascii="Times New Roman" w:hAnsi="Times New Roman" w:cs="Times New Roman"/>
          <w:szCs w:val="24"/>
          <w:lang w:val="fr-FR"/>
        </w:rPr>
        <w:t>enfant</w:t>
      </w:r>
      <w:r w:rsidR="00A04CB5" w:rsidRPr="00437336">
        <w:rPr>
          <w:rFonts w:ascii="Times New Roman" w:hAnsi="Times New Roman" w:cs="Times New Roman"/>
          <w:szCs w:val="24"/>
          <w:lang w:val="fr-FR"/>
        </w:rPr>
        <w:t xml:space="preserve"> devait</w:t>
      </w:r>
      <w:r w:rsidRPr="00437336">
        <w:rPr>
          <w:rFonts w:ascii="Times New Roman" w:hAnsi="Times New Roman" w:cs="Times New Roman"/>
          <w:szCs w:val="24"/>
          <w:lang w:val="fr-FR"/>
        </w:rPr>
        <w:t xml:space="preserve"> rencontre</w:t>
      </w:r>
      <w:r w:rsidR="00A04CB5" w:rsidRPr="00437336">
        <w:rPr>
          <w:rFonts w:ascii="Times New Roman" w:hAnsi="Times New Roman" w:cs="Times New Roman"/>
          <w:szCs w:val="24"/>
          <w:lang w:val="fr-FR"/>
        </w:rPr>
        <w:t>r</w:t>
      </w:r>
      <w:r w:rsidRPr="00437336">
        <w:rPr>
          <w:rFonts w:ascii="Times New Roman" w:hAnsi="Times New Roman" w:cs="Times New Roman"/>
          <w:szCs w:val="24"/>
          <w:lang w:val="fr-FR"/>
        </w:rPr>
        <w:t xml:space="preserve"> le requérant sans la présence de sa mère. </w:t>
      </w:r>
      <w:r w:rsidR="00A04CB5" w:rsidRPr="00437336">
        <w:rPr>
          <w:rFonts w:ascii="Times New Roman" w:hAnsi="Times New Roman" w:cs="Times New Roman"/>
          <w:szCs w:val="24"/>
          <w:lang w:val="fr-FR"/>
        </w:rPr>
        <w:t>Face</w:t>
      </w:r>
      <w:r w:rsidR="00480FF4" w:rsidRPr="00437336">
        <w:rPr>
          <w:lang w:val="fr-FR"/>
        </w:rPr>
        <w:t xml:space="preserve"> à cette situation, le tribunal s</w:t>
      </w:r>
      <w:r w:rsidR="00437336" w:rsidRPr="00437336">
        <w:rPr>
          <w:lang w:val="fr-FR"/>
        </w:rPr>
        <w:t>’</w:t>
      </w:r>
      <w:r w:rsidR="00480FF4" w:rsidRPr="00437336">
        <w:rPr>
          <w:lang w:val="fr-FR"/>
        </w:rPr>
        <w:t>est limité dans un premier temps à ordonner à la mère de l</w:t>
      </w:r>
      <w:r w:rsidR="00437336" w:rsidRPr="00437336">
        <w:rPr>
          <w:lang w:val="fr-FR"/>
        </w:rPr>
        <w:t>’</w:t>
      </w:r>
      <w:r w:rsidR="00480FF4" w:rsidRPr="00437336">
        <w:rPr>
          <w:lang w:val="fr-FR"/>
        </w:rPr>
        <w:t xml:space="preserve">enfant et aux services sociaux de se conformer à ses décisions (le 22 juin 2008, </w:t>
      </w:r>
      <w:r w:rsidR="00C04058" w:rsidRPr="00437336">
        <w:rPr>
          <w:lang w:val="fr-FR"/>
        </w:rPr>
        <w:t>le 28</w:t>
      </w:r>
      <w:r w:rsidR="0037257C" w:rsidRPr="00437336">
        <w:rPr>
          <w:lang w:val="fr-FR"/>
        </w:rPr>
        <w:t xml:space="preserve"> </w:t>
      </w:r>
      <w:r w:rsidR="00C04058" w:rsidRPr="00437336">
        <w:rPr>
          <w:lang w:val="fr-FR"/>
        </w:rPr>
        <w:t>avril</w:t>
      </w:r>
      <w:r w:rsidR="0037257C" w:rsidRPr="00437336">
        <w:rPr>
          <w:lang w:val="fr-FR"/>
        </w:rPr>
        <w:t xml:space="preserve"> </w:t>
      </w:r>
      <w:r w:rsidR="00437336" w:rsidRPr="00437336">
        <w:rPr>
          <w:lang w:val="fr-FR"/>
        </w:rPr>
        <w:t xml:space="preserve">2009 et le 27 avril </w:t>
      </w:r>
      <w:r w:rsidR="00480FF4" w:rsidRPr="00437336">
        <w:rPr>
          <w:lang w:val="fr-FR"/>
        </w:rPr>
        <w:t xml:space="preserve">2010 – paragraphes 8-16 ci-dessus). </w:t>
      </w:r>
      <w:r w:rsidRPr="00437336">
        <w:rPr>
          <w:rFonts w:ascii="Times New Roman" w:hAnsi="Times New Roman" w:cs="Times New Roman"/>
          <w:szCs w:val="24"/>
          <w:lang w:val="fr-FR"/>
        </w:rPr>
        <w:t>Toutefois,</w:t>
      </w:r>
      <w:r w:rsidRPr="00437336">
        <w:rPr>
          <w:lang w:val="fr-FR"/>
        </w:rPr>
        <w:t xml:space="preserve"> les rencontres entre le requérant et son fils ont été réduites en nombre et leur organisation a été difficile</w:t>
      </w:r>
      <w:r w:rsidR="0037257C" w:rsidRPr="00437336">
        <w:rPr>
          <w:lang w:val="fr-FR"/>
        </w:rPr>
        <w:t>.</w:t>
      </w:r>
    </w:p>
    <w:p w:rsidR="00BD40D6" w:rsidRPr="00437336" w:rsidRDefault="00480FF4"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69</w:t>
      </w:r>
      <w:r w:rsidRPr="00437336">
        <w:rPr>
          <w:lang w:val="fr-FR"/>
        </w:rPr>
        <w:fldChar w:fldCharType="end"/>
      </w:r>
      <w:r w:rsidRPr="00437336">
        <w:rPr>
          <w:lang w:val="fr-FR"/>
        </w:rPr>
        <w:t>.  </w:t>
      </w:r>
      <w:r w:rsidR="00BD40D6" w:rsidRPr="00437336">
        <w:rPr>
          <w:lang w:val="fr-FR"/>
        </w:rPr>
        <w:t>La Cour note ensuite que en 2010 le tribunal a reconnu que le requérant n</w:t>
      </w:r>
      <w:r w:rsidR="00437336" w:rsidRPr="00437336">
        <w:rPr>
          <w:lang w:val="fr-FR"/>
        </w:rPr>
        <w:t>’</w:t>
      </w:r>
      <w:r w:rsidR="00BD40D6" w:rsidRPr="00437336">
        <w:rPr>
          <w:lang w:val="fr-FR"/>
        </w:rPr>
        <w:t xml:space="preserve">avait pas pu exercer son droit de </w:t>
      </w:r>
      <w:r w:rsidRPr="00437336">
        <w:rPr>
          <w:lang w:val="fr-FR"/>
        </w:rPr>
        <w:t>visite</w:t>
      </w:r>
      <w:r w:rsidR="00BD40D6" w:rsidRPr="00437336">
        <w:rPr>
          <w:lang w:val="fr-FR"/>
        </w:rPr>
        <w:t xml:space="preserve"> en raison, en particulier, du </w:t>
      </w:r>
      <w:r w:rsidRPr="00437336">
        <w:rPr>
          <w:lang w:val="fr-FR"/>
        </w:rPr>
        <w:t>non-respect</w:t>
      </w:r>
      <w:r w:rsidR="00BD40D6" w:rsidRPr="00437336">
        <w:rPr>
          <w:lang w:val="fr-FR"/>
        </w:rPr>
        <w:t xml:space="preserve"> par </w:t>
      </w:r>
      <w:r w:rsidRPr="00437336">
        <w:rPr>
          <w:lang w:val="fr-FR"/>
        </w:rPr>
        <w:t>C.M.</w:t>
      </w:r>
      <w:r w:rsidR="0078534A" w:rsidRPr="00437336">
        <w:rPr>
          <w:lang w:val="fr-FR"/>
        </w:rPr>
        <w:t xml:space="preserve"> de</w:t>
      </w:r>
      <w:r w:rsidR="00BD40D6" w:rsidRPr="00437336">
        <w:rPr>
          <w:lang w:val="fr-FR"/>
        </w:rPr>
        <w:t xml:space="preserve"> </w:t>
      </w:r>
      <w:r w:rsidR="0078534A" w:rsidRPr="00437336">
        <w:rPr>
          <w:lang w:val="fr-FR"/>
        </w:rPr>
        <w:t>ses décisions.</w:t>
      </w:r>
    </w:p>
    <w:p w:rsidR="00CD1297" w:rsidRPr="00437336" w:rsidRDefault="00CD1297" w:rsidP="00437336">
      <w:pPr>
        <w:pStyle w:val="ECHRPara"/>
        <w:rPr>
          <w:rFonts w:eastAsia="Times New Roman"/>
          <w:lang w:val="fr-FR" w:eastAsia="en-GB"/>
        </w:rPr>
      </w:pPr>
      <w:r w:rsidRPr="00437336">
        <w:rPr>
          <w:rFonts w:eastAsia="Times New Roman"/>
          <w:lang w:val="fr-FR" w:eastAsia="en-GB"/>
        </w:rPr>
        <w:fldChar w:fldCharType="begin"/>
      </w:r>
      <w:r w:rsidRPr="00437336">
        <w:rPr>
          <w:rFonts w:eastAsia="Times New Roman"/>
          <w:lang w:val="fr-FR" w:eastAsia="en-GB"/>
        </w:rPr>
        <w:instrText xml:space="preserve"> SEQ level0 \*arabic </w:instrText>
      </w:r>
      <w:r w:rsidRPr="00437336">
        <w:rPr>
          <w:rFonts w:eastAsia="Times New Roman"/>
          <w:lang w:val="fr-FR" w:eastAsia="en-GB"/>
        </w:rPr>
        <w:fldChar w:fldCharType="separate"/>
      </w:r>
      <w:r w:rsidR="00C21CB2">
        <w:rPr>
          <w:rFonts w:eastAsia="Times New Roman"/>
          <w:noProof/>
          <w:lang w:val="fr-FR" w:eastAsia="en-GB"/>
        </w:rPr>
        <w:t>70</w:t>
      </w:r>
      <w:r w:rsidRPr="00437336">
        <w:rPr>
          <w:rFonts w:eastAsia="Times New Roman"/>
          <w:lang w:val="fr-FR" w:eastAsia="en-GB"/>
        </w:rPr>
        <w:fldChar w:fldCharType="end"/>
      </w:r>
      <w:r w:rsidRPr="00437336">
        <w:rPr>
          <w:rFonts w:eastAsia="Times New Roman"/>
          <w:lang w:val="fr-FR" w:eastAsia="en-GB"/>
        </w:rPr>
        <w:t>.  </w:t>
      </w:r>
      <w:r w:rsidR="00A04CB5" w:rsidRPr="00437336">
        <w:rPr>
          <w:rFonts w:eastAsia="Times New Roman"/>
          <w:lang w:val="fr-FR" w:eastAsia="en-GB"/>
        </w:rPr>
        <w:t>A cet égard</w:t>
      </w:r>
      <w:r w:rsidRPr="00437336">
        <w:rPr>
          <w:rFonts w:eastAsia="Times New Roman"/>
          <w:lang w:val="fr-FR" w:eastAsia="en-GB"/>
        </w:rPr>
        <w:t xml:space="preserve">, la Cour relève que, entre </w:t>
      </w:r>
      <w:r w:rsidR="00A879C7" w:rsidRPr="00437336">
        <w:rPr>
          <w:rFonts w:eastAsia="Times New Roman"/>
          <w:lang w:val="fr-FR" w:eastAsia="en-GB"/>
        </w:rPr>
        <w:t xml:space="preserve">août </w:t>
      </w:r>
      <w:r w:rsidRPr="00437336">
        <w:rPr>
          <w:rFonts w:eastAsia="Times New Roman"/>
          <w:lang w:val="fr-FR" w:eastAsia="en-GB"/>
        </w:rPr>
        <w:t>2006 et avril 2010, la plupart des rencontres autorisées</w:t>
      </w:r>
      <w:r w:rsidR="005720D7" w:rsidRPr="00437336">
        <w:rPr>
          <w:rFonts w:eastAsia="Times New Roman"/>
          <w:lang w:val="fr-FR" w:eastAsia="en-GB"/>
        </w:rPr>
        <w:t xml:space="preserve"> entre le requérant et son fils </w:t>
      </w:r>
      <w:r w:rsidRPr="00437336">
        <w:rPr>
          <w:rFonts w:eastAsia="Times New Roman"/>
          <w:lang w:val="fr-FR" w:eastAsia="en-GB"/>
        </w:rPr>
        <w:t>n</w:t>
      </w:r>
      <w:r w:rsidR="00437336" w:rsidRPr="00437336">
        <w:rPr>
          <w:rFonts w:eastAsia="Times New Roman"/>
          <w:lang w:val="fr-FR" w:eastAsia="en-GB"/>
        </w:rPr>
        <w:t>’</w:t>
      </w:r>
      <w:r w:rsidRPr="00437336">
        <w:rPr>
          <w:rFonts w:eastAsia="Times New Roman"/>
          <w:lang w:val="fr-FR" w:eastAsia="en-GB"/>
        </w:rPr>
        <w:t>ont pas été organisées</w:t>
      </w:r>
      <w:r w:rsidR="00A879C7" w:rsidRPr="00437336">
        <w:rPr>
          <w:rFonts w:eastAsia="Times New Roman"/>
          <w:lang w:val="fr-FR" w:eastAsia="en-GB"/>
        </w:rPr>
        <w:t xml:space="preserve"> ou se sont </w:t>
      </w:r>
      <w:r w:rsidR="00E22A27" w:rsidRPr="00437336">
        <w:rPr>
          <w:rFonts w:eastAsia="Times New Roman"/>
          <w:lang w:val="fr-FR" w:eastAsia="en-GB"/>
        </w:rPr>
        <w:t>déroulées</w:t>
      </w:r>
      <w:r w:rsidR="00A879C7" w:rsidRPr="00437336">
        <w:rPr>
          <w:rFonts w:eastAsia="Times New Roman"/>
          <w:lang w:val="fr-FR" w:eastAsia="en-GB"/>
        </w:rPr>
        <w:t xml:space="preserve"> </w:t>
      </w:r>
      <w:r w:rsidR="007844C7" w:rsidRPr="00437336">
        <w:rPr>
          <w:rFonts w:eastAsia="Times New Roman"/>
          <w:lang w:val="fr-FR" w:eastAsia="en-GB"/>
        </w:rPr>
        <w:t xml:space="preserve">en </w:t>
      </w:r>
      <w:r w:rsidR="00A879C7" w:rsidRPr="00437336">
        <w:rPr>
          <w:rFonts w:eastAsia="Times New Roman"/>
          <w:lang w:val="fr-FR" w:eastAsia="en-GB"/>
        </w:rPr>
        <w:t>présence de C.M.</w:t>
      </w:r>
      <w:r w:rsidRPr="00437336">
        <w:rPr>
          <w:rFonts w:eastAsia="Times New Roman"/>
          <w:lang w:val="fr-FR" w:eastAsia="en-GB"/>
        </w:rPr>
        <w:t xml:space="preserve"> Elle estime qu</w:t>
      </w:r>
      <w:r w:rsidR="00437336" w:rsidRPr="00437336">
        <w:rPr>
          <w:rFonts w:eastAsia="Times New Roman"/>
          <w:lang w:val="fr-FR" w:eastAsia="en-GB"/>
        </w:rPr>
        <w:t>’</w:t>
      </w:r>
      <w:r w:rsidRPr="00437336">
        <w:rPr>
          <w:rFonts w:eastAsia="Times New Roman"/>
          <w:lang w:val="fr-FR" w:eastAsia="en-GB"/>
        </w:rPr>
        <w:t>une réaction rapide à cette situation aurait été nécessaire eu égard à l</w:t>
      </w:r>
      <w:r w:rsidR="00437336" w:rsidRPr="00437336">
        <w:rPr>
          <w:rFonts w:eastAsia="Times New Roman"/>
          <w:lang w:val="fr-FR" w:eastAsia="en-GB"/>
        </w:rPr>
        <w:t>’</w:t>
      </w:r>
      <w:r w:rsidRPr="00437336">
        <w:rPr>
          <w:rFonts w:eastAsia="Times New Roman"/>
          <w:lang w:val="fr-FR" w:eastAsia="en-GB"/>
        </w:rPr>
        <w:t>incidence, dans ce genre d</w:t>
      </w:r>
      <w:r w:rsidR="00437336" w:rsidRPr="00437336">
        <w:rPr>
          <w:rFonts w:eastAsia="Times New Roman"/>
          <w:lang w:val="fr-FR" w:eastAsia="en-GB"/>
        </w:rPr>
        <w:t>’</w:t>
      </w:r>
      <w:r w:rsidRPr="00437336">
        <w:rPr>
          <w:rFonts w:eastAsia="Times New Roman"/>
          <w:lang w:val="fr-FR" w:eastAsia="en-GB"/>
        </w:rPr>
        <w:t>affaires, de l</w:t>
      </w:r>
      <w:r w:rsidR="00437336" w:rsidRPr="00437336">
        <w:rPr>
          <w:rFonts w:eastAsia="Times New Roman"/>
          <w:lang w:val="fr-FR" w:eastAsia="en-GB"/>
        </w:rPr>
        <w:t>’</w:t>
      </w:r>
      <w:r w:rsidRPr="00437336">
        <w:rPr>
          <w:rFonts w:eastAsia="Times New Roman"/>
          <w:bCs/>
          <w:lang w:val="fr-FR" w:eastAsia="en-GB"/>
        </w:rPr>
        <w:t>écoulement</w:t>
      </w:r>
      <w:r w:rsidRPr="00437336">
        <w:rPr>
          <w:rFonts w:eastAsia="Times New Roman"/>
          <w:lang w:val="fr-FR" w:eastAsia="en-GB"/>
        </w:rPr>
        <w:t xml:space="preserve"> </w:t>
      </w:r>
      <w:r w:rsidRPr="00437336">
        <w:rPr>
          <w:rFonts w:eastAsia="Times New Roman"/>
          <w:bCs/>
          <w:lang w:val="fr-FR" w:eastAsia="en-GB"/>
        </w:rPr>
        <w:t>du</w:t>
      </w:r>
      <w:r w:rsidRPr="00437336">
        <w:rPr>
          <w:rFonts w:eastAsia="Times New Roman"/>
          <w:lang w:val="fr-FR" w:eastAsia="en-GB"/>
        </w:rPr>
        <w:t xml:space="preserve"> </w:t>
      </w:r>
      <w:r w:rsidRPr="00437336">
        <w:rPr>
          <w:rFonts w:eastAsia="Times New Roman"/>
          <w:bCs/>
          <w:lang w:val="fr-FR" w:eastAsia="en-GB"/>
        </w:rPr>
        <w:t>temps</w:t>
      </w:r>
      <w:r w:rsidR="00A04CB5" w:rsidRPr="00437336">
        <w:rPr>
          <w:rFonts w:eastAsia="Times New Roman"/>
          <w:lang w:val="fr-FR" w:eastAsia="en-GB"/>
        </w:rPr>
        <w:t xml:space="preserve">, </w:t>
      </w:r>
      <w:r w:rsidRPr="00437336">
        <w:rPr>
          <w:rFonts w:eastAsia="Times New Roman"/>
          <w:lang w:val="fr-FR" w:eastAsia="en-GB"/>
        </w:rPr>
        <w:t>celui-ci pouvant avoir des effets négatifs quant à la possibilité pour le parent concerné de renouer une relation avec l</w:t>
      </w:r>
      <w:r w:rsidR="00437336" w:rsidRPr="00437336">
        <w:rPr>
          <w:rFonts w:eastAsia="Times New Roman"/>
          <w:lang w:val="fr-FR" w:eastAsia="en-GB"/>
        </w:rPr>
        <w:t>’</w:t>
      </w:r>
      <w:r w:rsidRPr="00437336">
        <w:rPr>
          <w:rFonts w:eastAsia="Times New Roman"/>
          <w:lang w:val="fr-FR" w:eastAsia="en-GB"/>
        </w:rPr>
        <w:t>enfant.</w:t>
      </w:r>
    </w:p>
    <w:p w:rsidR="00A8487E" w:rsidRPr="00437336" w:rsidRDefault="00A8487E" w:rsidP="00437336">
      <w:pPr>
        <w:pStyle w:val="ECHRPara"/>
        <w:rPr>
          <w:rFonts w:ascii="Times New Roman" w:hAnsi="Times New Roman" w:cs="Times New Roman"/>
          <w:szCs w:val="24"/>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71</w:t>
      </w:r>
      <w:r w:rsidRPr="00437336">
        <w:rPr>
          <w:lang w:val="fr-FR"/>
        </w:rPr>
        <w:fldChar w:fldCharType="end"/>
      </w:r>
      <w:r w:rsidRPr="00437336">
        <w:rPr>
          <w:lang w:val="fr-FR"/>
        </w:rPr>
        <w:t>.  La Cour note également que, p</w:t>
      </w:r>
      <w:r w:rsidRPr="00437336">
        <w:rPr>
          <w:rFonts w:ascii="Times New Roman" w:hAnsi="Times New Roman" w:cs="Times New Roman"/>
          <w:szCs w:val="24"/>
          <w:lang w:val="fr-FR"/>
        </w:rPr>
        <w:t xml:space="preserve">ar la suite, </w:t>
      </w:r>
      <w:r w:rsidR="00BD40D6" w:rsidRPr="00437336">
        <w:rPr>
          <w:rFonts w:ascii="Times New Roman" w:hAnsi="Times New Roman" w:cs="Times New Roman"/>
          <w:szCs w:val="24"/>
          <w:lang w:val="fr-FR"/>
        </w:rPr>
        <w:t>en 2010 l</w:t>
      </w:r>
      <w:r w:rsidR="00493C78" w:rsidRPr="00437336">
        <w:rPr>
          <w:rFonts w:ascii="Times New Roman" w:hAnsi="Times New Roman" w:cs="Times New Roman"/>
          <w:szCs w:val="24"/>
          <w:lang w:val="fr-FR"/>
        </w:rPr>
        <w:t xml:space="preserve">e tribunal a pris acte de ce que </w:t>
      </w:r>
      <w:r w:rsidR="00BD40D6" w:rsidRPr="00437336">
        <w:rPr>
          <w:rFonts w:ascii="Times New Roman" w:hAnsi="Times New Roman" w:cs="Times New Roman"/>
          <w:szCs w:val="24"/>
          <w:lang w:val="fr-FR"/>
        </w:rPr>
        <w:t>la mère avait sciemment</w:t>
      </w:r>
      <w:r w:rsidR="003B5B49" w:rsidRPr="00437336">
        <w:rPr>
          <w:rFonts w:ascii="Times New Roman" w:hAnsi="Times New Roman" w:cs="Times New Roman"/>
          <w:szCs w:val="24"/>
          <w:lang w:val="fr-FR"/>
        </w:rPr>
        <w:t xml:space="preserve"> œuvré</w:t>
      </w:r>
      <w:r w:rsidR="00BD40D6" w:rsidRPr="00437336">
        <w:rPr>
          <w:rFonts w:ascii="Times New Roman" w:hAnsi="Times New Roman" w:cs="Times New Roman"/>
          <w:szCs w:val="24"/>
          <w:lang w:val="fr-FR"/>
        </w:rPr>
        <w:t xml:space="preserve"> à empêcher toute relation entre</w:t>
      </w:r>
      <w:r w:rsidR="003B5B49" w:rsidRPr="00437336">
        <w:rPr>
          <w:rFonts w:ascii="Times New Roman" w:hAnsi="Times New Roman" w:cs="Times New Roman"/>
          <w:szCs w:val="24"/>
          <w:lang w:val="fr-FR"/>
        </w:rPr>
        <w:t xml:space="preserve"> l</w:t>
      </w:r>
      <w:r w:rsidR="00437336" w:rsidRPr="00437336">
        <w:rPr>
          <w:rFonts w:ascii="Times New Roman" w:hAnsi="Times New Roman" w:cs="Times New Roman"/>
          <w:szCs w:val="24"/>
          <w:lang w:val="fr-FR"/>
        </w:rPr>
        <w:t>’</w:t>
      </w:r>
      <w:r w:rsidR="003B5B49" w:rsidRPr="00437336">
        <w:rPr>
          <w:rFonts w:ascii="Times New Roman" w:hAnsi="Times New Roman" w:cs="Times New Roman"/>
          <w:szCs w:val="24"/>
          <w:lang w:val="fr-FR"/>
        </w:rPr>
        <w:t xml:space="preserve">enfant et le requérant </w:t>
      </w:r>
      <w:r w:rsidR="00BD40D6" w:rsidRPr="00437336">
        <w:rPr>
          <w:rFonts w:ascii="Times New Roman" w:hAnsi="Times New Roman" w:cs="Times New Roman"/>
          <w:szCs w:val="24"/>
          <w:lang w:val="fr-FR"/>
        </w:rPr>
        <w:t>et que</w:t>
      </w:r>
      <w:r w:rsidR="005720D7" w:rsidRPr="00437336">
        <w:rPr>
          <w:rFonts w:ascii="Times New Roman" w:hAnsi="Times New Roman" w:cs="Times New Roman"/>
          <w:szCs w:val="24"/>
          <w:lang w:val="fr-FR"/>
        </w:rPr>
        <w:t>,</w:t>
      </w:r>
      <w:r w:rsidR="00BD40D6" w:rsidRPr="00437336">
        <w:rPr>
          <w:rFonts w:ascii="Times New Roman" w:hAnsi="Times New Roman" w:cs="Times New Roman"/>
          <w:szCs w:val="24"/>
          <w:lang w:val="fr-FR"/>
        </w:rPr>
        <w:t xml:space="preserve"> nonobstant les décisions des juridictions internes</w:t>
      </w:r>
      <w:r w:rsidR="005720D7" w:rsidRPr="00437336">
        <w:rPr>
          <w:rFonts w:ascii="Times New Roman" w:hAnsi="Times New Roman" w:cs="Times New Roman"/>
          <w:szCs w:val="24"/>
          <w:lang w:val="fr-FR"/>
        </w:rPr>
        <w:t>,</w:t>
      </w:r>
      <w:r w:rsidR="00BD40D6" w:rsidRPr="00437336">
        <w:rPr>
          <w:rFonts w:ascii="Times New Roman" w:hAnsi="Times New Roman" w:cs="Times New Roman"/>
          <w:szCs w:val="24"/>
          <w:lang w:val="fr-FR"/>
        </w:rPr>
        <w:t xml:space="preserve"> elle persistait dans son comportement.</w:t>
      </w:r>
    </w:p>
    <w:p w:rsidR="00A8487E" w:rsidRPr="00437336" w:rsidRDefault="00A8487E"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72</w:t>
      </w:r>
      <w:r w:rsidRPr="00437336">
        <w:rPr>
          <w:lang w:val="fr-FR"/>
        </w:rPr>
        <w:fldChar w:fldCharType="end"/>
      </w:r>
      <w:r w:rsidRPr="00437336">
        <w:rPr>
          <w:lang w:val="fr-FR"/>
        </w:rPr>
        <w:t xml:space="preserve">.  La Cour observe que la situation a ainsi perduré </w:t>
      </w:r>
      <w:r w:rsidR="00BD40D6" w:rsidRPr="00437336">
        <w:rPr>
          <w:lang w:val="fr-FR"/>
        </w:rPr>
        <w:t>jusqu</w:t>
      </w:r>
      <w:r w:rsidR="00437336" w:rsidRPr="00437336">
        <w:rPr>
          <w:lang w:val="fr-FR"/>
        </w:rPr>
        <w:t>’</w:t>
      </w:r>
      <w:r w:rsidR="00BD40D6" w:rsidRPr="00437336">
        <w:rPr>
          <w:lang w:val="fr-FR"/>
        </w:rPr>
        <w:t>en novembre 2010, lorsque le requérant refusa de voir l</w:t>
      </w:r>
      <w:r w:rsidR="00437336" w:rsidRPr="00437336">
        <w:rPr>
          <w:lang w:val="fr-FR"/>
        </w:rPr>
        <w:t>’</w:t>
      </w:r>
      <w:r w:rsidR="00BD40D6" w:rsidRPr="00437336">
        <w:rPr>
          <w:lang w:val="fr-FR"/>
        </w:rPr>
        <w:t xml:space="preserve">enfant </w:t>
      </w:r>
      <w:r w:rsidR="00A04CB5" w:rsidRPr="00437336">
        <w:rPr>
          <w:lang w:val="fr-FR"/>
        </w:rPr>
        <w:t>en</w:t>
      </w:r>
      <w:r w:rsidR="00BD40D6" w:rsidRPr="00437336">
        <w:rPr>
          <w:lang w:val="fr-FR"/>
        </w:rPr>
        <w:t xml:space="preserve"> la présence de C.M</w:t>
      </w:r>
      <w:r w:rsidR="003B5B49" w:rsidRPr="00437336">
        <w:rPr>
          <w:lang w:val="fr-FR"/>
        </w:rPr>
        <w:t>.</w:t>
      </w:r>
    </w:p>
    <w:p w:rsidR="00A8487E" w:rsidRPr="00437336" w:rsidRDefault="00A8487E"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73</w:t>
      </w:r>
      <w:r w:rsidRPr="00437336">
        <w:rPr>
          <w:lang w:val="fr-FR"/>
        </w:rPr>
        <w:fldChar w:fldCharType="end"/>
      </w:r>
      <w:r w:rsidRPr="00437336">
        <w:rPr>
          <w:lang w:val="fr-FR"/>
        </w:rPr>
        <w:t>.  La Cour rappelle qu</w:t>
      </w:r>
      <w:r w:rsidR="00437336" w:rsidRPr="00437336">
        <w:rPr>
          <w:lang w:val="fr-FR"/>
        </w:rPr>
        <w:t>’</w:t>
      </w:r>
      <w:r w:rsidRPr="00437336">
        <w:rPr>
          <w:lang w:val="fr-FR"/>
        </w:rPr>
        <w:t>il ne lui appartient pas de substituer son appréciation à celle des autorités nationales compétentes quant aux mesures qui auraient dû être prises, car ces autorités sont en principe mieux placées pour procéder à une telle évaluation, en particulier parce qu</w:t>
      </w:r>
      <w:r w:rsidR="00437336" w:rsidRPr="00437336">
        <w:rPr>
          <w:lang w:val="fr-FR"/>
        </w:rPr>
        <w:t>’</w:t>
      </w:r>
      <w:r w:rsidRPr="00437336">
        <w:rPr>
          <w:lang w:val="fr-FR"/>
        </w:rPr>
        <w:t>elles sont en contact direct avec le contexte de l</w:t>
      </w:r>
      <w:r w:rsidR="00437336" w:rsidRPr="00437336">
        <w:rPr>
          <w:lang w:val="fr-FR"/>
        </w:rPr>
        <w:t>’</w:t>
      </w:r>
      <w:r w:rsidRPr="00437336">
        <w:rPr>
          <w:lang w:val="fr-FR"/>
        </w:rPr>
        <w:t>affaire et les parties impliquées (</w:t>
      </w:r>
      <w:r w:rsidR="000F6DA4" w:rsidRPr="00437336">
        <w:rPr>
          <w:i/>
          <w:lang w:val="fr-FR"/>
        </w:rPr>
        <w:t>Reigado </w:t>
      </w:r>
      <w:r w:rsidRPr="00437336">
        <w:rPr>
          <w:i/>
          <w:lang w:val="fr-FR"/>
        </w:rPr>
        <w:t>Ramos</w:t>
      </w:r>
      <w:r w:rsidRPr="00437336">
        <w:rPr>
          <w:lang w:val="fr-FR"/>
        </w:rPr>
        <w:t>, précité, § 53). Pour autant, elle ne peut en l</w:t>
      </w:r>
      <w:r w:rsidR="00437336" w:rsidRPr="00437336">
        <w:rPr>
          <w:lang w:val="fr-FR"/>
        </w:rPr>
        <w:t>’</w:t>
      </w:r>
      <w:r w:rsidRPr="00437336">
        <w:rPr>
          <w:lang w:val="fr-FR"/>
        </w:rPr>
        <w:t xml:space="preserve">espèce ignorer les faits précédemment exposés (paragraphes </w:t>
      </w:r>
      <w:r w:rsidR="005554E6" w:rsidRPr="00437336">
        <w:rPr>
          <w:lang w:val="fr-FR"/>
        </w:rPr>
        <w:t>67</w:t>
      </w:r>
      <w:r w:rsidR="00E22A27" w:rsidRPr="00437336">
        <w:rPr>
          <w:lang w:val="fr-FR"/>
        </w:rPr>
        <w:t>-</w:t>
      </w:r>
      <w:r w:rsidR="005554E6" w:rsidRPr="00437336">
        <w:rPr>
          <w:lang w:val="fr-FR"/>
        </w:rPr>
        <w:t xml:space="preserve">72 </w:t>
      </w:r>
      <w:r w:rsidRPr="00437336">
        <w:rPr>
          <w:lang w:val="fr-FR"/>
        </w:rPr>
        <w:t>ci-dessus). Le requérant a essayé d</w:t>
      </w:r>
      <w:r w:rsidR="00437336" w:rsidRPr="00437336">
        <w:rPr>
          <w:lang w:val="fr-FR"/>
        </w:rPr>
        <w:t>’</w:t>
      </w:r>
      <w:r w:rsidRPr="00437336">
        <w:rPr>
          <w:lang w:val="fr-FR"/>
        </w:rPr>
        <w:t xml:space="preserve">établir des contacts avec </w:t>
      </w:r>
      <w:r w:rsidR="00BD40D6" w:rsidRPr="00437336">
        <w:rPr>
          <w:lang w:val="fr-FR"/>
        </w:rPr>
        <w:t xml:space="preserve">son fils </w:t>
      </w:r>
      <w:r w:rsidRPr="00437336">
        <w:rPr>
          <w:lang w:val="fr-FR"/>
        </w:rPr>
        <w:t>depuis 200</w:t>
      </w:r>
      <w:r w:rsidR="00BD40D6" w:rsidRPr="00437336">
        <w:rPr>
          <w:lang w:val="fr-FR"/>
        </w:rPr>
        <w:t>6</w:t>
      </w:r>
      <w:r w:rsidRPr="00437336">
        <w:rPr>
          <w:lang w:val="fr-FR"/>
        </w:rPr>
        <w:t xml:space="preserve">, et, en dépit des </w:t>
      </w:r>
      <w:r w:rsidR="00BD40D6" w:rsidRPr="00437336">
        <w:rPr>
          <w:lang w:val="fr-FR"/>
        </w:rPr>
        <w:t xml:space="preserve">décisions </w:t>
      </w:r>
      <w:r w:rsidR="00CA23F8" w:rsidRPr="00437336">
        <w:rPr>
          <w:lang w:val="fr-FR"/>
        </w:rPr>
        <w:t>du tribunal lui reconnaissant un droit de visite</w:t>
      </w:r>
      <w:r w:rsidRPr="00437336">
        <w:rPr>
          <w:lang w:val="fr-FR"/>
        </w:rPr>
        <w:t xml:space="preserve">, </w:t>
      </w:r>
      <w:r w:rsidR="00A04CB5" w:rsidRPr="00437336">
        <w:rPr>
          <w:lang w:val="fr-FR"/>
        </w:rPr>
        <w:t>il</w:t>
      </w:r>
      <w:r w:rsidRPr="00437336">
        <w:rPr>
          <w:lang w:val="fr-FR"/>
        </w:rPr>
        <w:t xml:space="preserve"> n</w:t>
      </w:r>
      <w:r w:rsidR="00437336" w:rsidRPr="00437336">
        <w:rPr>
          <w:lang w:val="fr-FR"/>
        </w:rPr>
        <w:t>’</w:t>
      </w:r>
      <w:r w:rsidRPr="00437336">
        <w:rPr>
          <w:lang w:val="fr-FR"/>
        </w:rPr>
        <w:t xml:space="preserve">a pu exercer </w:t>
      </w:r>
      <w:r w:rsidRPr="00437336">
        <w:rPr>
          <w:lang w:val="fr-FR"/>
        </w:rPr>
        <w:lastRenderedPageBreak/>
        <w:t>son droit de visite que de manière très limitée en raison de l</w:t>
      </w:r>
      <w:r w:rsidR="00437336" w:rsidRPr="00437336">
        <w:rPr>
          <w:lang w:val="fr-FR"/>
        </w:rPr>
        <w:t>’</w:t>
      </w:r>
      <w:r w:rsidRPr="00437336">
        <w:rPr>
          <w:lang w:val="fr-FR"/>
        </w:rPr>
        <w:t>opposition de la mère de l</w:t>
      </w:r>
      <w:r w:rsidR="00437336" w:rsidRPr="00437336">
        <w:rPr>
          <w:lang w:val="fr-FR"/>
        </w:rPr>
        <w:t>’</w:t>
      </w:r>
      <w:r w:rsidRPr="00437336">
        <w:rPr>
          <w:lang w:val="fr-FR"/>
        </w:rPr>
        <w:t>enfant</w:t>
      </w:r>
      <w:r w:rsidR="00BD40D6" w:rsidRPr="00437336">
        <w:rPr>
          <w:lang w:val="fr-FR"/>
        </w:rPr>
        <w:t>.</w:t>
      </w:r>
    </w:p>
    <w:p w:rsidR="00A8487E" w:rsidRPr="00437336" w:rsidRDefault="003B5B49" w:rsidP="00437336">
      <w:pPr>
        <w:pStyle w:val="ECHRPara"/>
        <w:rPr>
          <w:rFonts w:eastAsia="Times New Roman"/>
          <w:i/>
          <w:lang w:val="fr-FR" w:eastAsia="fr-FR"/>
        </w:rPr>
      </w:pPr>
      <w:r w:rsidRPr="00437336">
        <w:rPr>
          <w:rFonts w:eastAsia="Times New Roman"/>
          <w:lang w:val="fr-FR" w:eastAsia="fr-FR"/>
        </w:rPr>
        <w:fldChar w:fldCharType="begin"/>
      </w:r>
      <w:r w:rsidRPr="00437336">
        <w:rPr>
          <w:rFonts w:eastAsia="Times New Roman"/>
          <w:lang w:val="fr-FR" w:eastAsia="fr-FR"/>
        </w:rPr>
        <w:instrText xml:space="preserve"> SEQ level0 \*arabic </w:instrText>
      </w:r>
      <w:r w:rsidRPr="00437336">
        <w:rPr>
          <w:rFonts w:eastAsia="Times New Roman"/>
          <w:lang w:val="fr-FR" w:eastAsia="fr-FR"/>
        </w:rPr>
        <w:fldChar w:fldCharType="separate"/>
      </w:r>
      <w:r w:rsidR="00C21CB2">
        <w:rPr>
          <w:rFonts w:eastAsia="Times New Roman"/>
          <w:noProof/>
          <w:lang w:val="fr-FR" w:eastAsia="fr-FR"/>
        </w:rPr>
        <w:t>74</w:t>
      </w:r>
      <w:r w:rsidRPr="00437336">
        <w:rPr>
          <w:rFonts w:eastAsia="Times New Roman"/>
          <w:lang w:val="fr-FR" w:eastAsia="fr-FR"/>
        </w:rPr>
        <w:fldChar w:fldCharType="end"/>
      </w:r>
      <w:r w:rsidRPr="00437336">
        <w:rPr>
          <w:rFonts w:eastAsia="Times New Roman"/>
          <w:lang w:val="fr-FR" w:eastAsia="fr-FR"/>
        </w:rPr>
        <w:t>.  </w:t>
      </w:r>
      <w:r w:rsidR="00BD40D6" w:rsidRPr="00437336">
        <w:rPr>
          <w:rFonts w:eastAsia="Times New Roman"/>
          <w:lang w:val="fr-FR" w:eastAsia="fr-FR"/>
        </w:rPr>
        <w:t>La Cour reconnaît que les autorités faisaient en l</w:t>
      </w:r>
      <w:r w:rsidR="00437336" w:rsidRPr="00437336">
        <w:rPr>
          <w:rFonts w:eastAsia="Times New Roman"/>
          <w:lang w:val="fr-FR" w:eastAsia="fr-FR"/>
        </w:rPr>
        <w:t>’</w:t>
      </w:r>
      <w:r w:rsidR="00BD40D6" w:rsidRPr="00437336">
        <w:rPr>
          <w:rFonts w:eastAsia="Times New Roman"/>
          <w:lang w:val="fr-FR" w:eastAsia="fr-FR"/>
        </w:rPr>
        <w:t>espèce face à une situation très difficile, qui était notamment due aux tensions existant entre le requérant et son ex-compagne. Elle estime cependant qu</w:t>
      </w:r>
      <w:r w:rsidR="00437336" w:rsidRPr="00437336">
        <w:rPr>
          <w:rFonts w:eastAsia="Times New Roman"/>
          <w:lang w:val="fr-FR" w:eastAsia="fr-FR"/>
        </w:rPr>
        <w:t>’</w:t>
      </w:r>
      <w:r w:rsidR="00BD40D6" w:rsidRPr="00437336">
        <w:rPr>
          <w:rFonts w:eastAsia="Times New Roman"/>
          <w:lang w:val="fr-FR" w:eastAsia="fr-FR"/>
        </w:rPr>
        <w:t xml:space="preserve">un manque de coopération entre les parents séparés ne peut dispenser les autorités compétentes de mettre en œuvre tous les moyens susceptibles de permettre le maintien du lien familial (voir </w:t>
      </w:r>
      <w:r w:rsidR="00C7753F" w:rsidRPr="00437336">
        <w:rPr>
          <w:rFonts w:eastAsia="Times New Roman"/>
          <w:i/>
          <w:lang w:val="fr-FR" w:eastAsia="fr-FR"/>
        </w:rPr>
        <w:t>Fourkiotis c. Grèce</w:t>
      </w:r>
      <w:r w:rsidR="00C7753F" w:rsidRPr="00437336">
        <w:rPr>
          <w:rFonts w:eastAsia="Times New Roman"/>
          <w:lang w:val="fr-FR" w:eastAsia="fr-FR"/>
        </w:rPr>
        <w:t xml:space="preserve"> n</w:t>
      </w:r>
      <w:r w:rsidR="000C368D" w:rsidRPr="00437336">
        <w:rPr>
          <w:rFonts w:eastAsia="Times New Roman"/>
          <w:vertAlign w:val="superscript"/>
          <w:lang w:val="fr-FR" w:eastAsia="fr-FR"/>
        </w:rPr>
        <w:t>o</w:t>
      </w:r>
      <w:r w:rsidR="00C7753F" w:rsidRPr="00437336">
        <w:rPr>
          <w:rFonts w:eastAsia="Times New Roman"/>
          <w:lang w:val="fr-FR" w:eastAsia="fr-FR"/>
        </w:rPr>
        <w:t xml:space="preserve">74758/11 § 72, 16 juin 2016, </w:t>
      </w:r>
      <w:r w:rsidR="00BD40D6" w:rsidRPr="00437336">
        <w:rPr>
          <w:rFonts w:eastAsia="Times New Roman"/>
          <w:i/>
          <w:lang w:val="fr-FR" w:eastAsia="fr-FR"/>
        </w:rPr>
        <w:t>Lombardo</w:t>
      </w:r>
      <w:r w:rsidR="00BD40D6" w:rsidRPr="00437336">
        <w:rPr>
          <w:rFonts w:eastAsia="Times New Roman"/>
          <w:lang w:val="fr-FR" w:eastAsia="fr-FR"/>
        </w:rPr>
        <w:t xml:space="preserve">, précité, § 91, et voir aussi, </w:t>
      </w:r>
      <w:r w:rsidR="00BD40D6" w:rsidRPr="00437336">
        <w:rPr>
          <w:rFonts w:eastAsia="Times New Roman"/>
          <w:i/>
          <w:lang w:val="fr-FR" w:eastAsia="fr-FR"/>
        </w:rPr>
        <w:t>mutatis mutandis</w:t>
      </w:r>
      <w:r w:rsidR="00BD40D6" w:rsidRPr="00437336">
        <w:rPr>
          <w:rFonts w:eastAsia="Times New Roman"/>
          <w:lang w:val="fr-FR" w:eastAsia="fr-FR"/>
        </w:rPr>
        <w:t xml:space="preserve">, </w:t>
      </w:r>
      <w:r w:rsidR="00BD40D6" w:rsidRPr="00437336">
        <w:rPr>
          <w:rFonts w:eastAsia="Times New Roman"/>
          <w:i/>
          <w:lang w:val="fr-FR" w:eastAsia="fr-FR"/>
        </w:rPr>
        <w:t>Reigado Ramos</w:t>
      </w:r>
      <w:r w:rsidR="00BD40D6" w:rsidRPr="00437336">
        <w:rPr>
          <w:rFonts w:eastAsia="Times New Roman"/>
          <w:lang w:val="fr-FR" w:eastAsia="fr-FR"/>
        </w:rPr>
        <w:t xml:space="preserve">, précité, § 55 </w:t>
      </w:r>
      <w:r w:rsidR="00A8487E" w:rsidRPr="00437336">
        <w:rPr>
          <w:i/>
          <w:lang w:val="fr-FR"/>
        </w:rPr>
        <w:t>Zavřel</w:t>
      </w:r>
      <w:r w:rsidR="00A8487E" w:rsidRPr="00437336">
        <w:rPr>
          <w:lang w:val="fr-FR"/>
        </w:rPr>
        <w:t>, précité, § 52).</w:t>
      </w:r>
    </w:p>
    <w:p w:rsidR="00A8487E" w:rsidRPr="00437336" w:rsidRDefault="00A8487E"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75</w:t>
      </w:r>
      <w:r w:rsidRPr="00437336">
        <w:rPr>
          <w:lang w:val="fr-FR"/>
        </w:rPr>
        <w:fldChar w:fldCharType="end"/>
      </w:r>
      <w:r w:rsidR="00A04CB5" w:rsidRPr="00437336">
        <w:rPr>
          <w:lang w:val="fr-FR"/>
        </w:rPr>
        <w:t>.  En effet, les autorités n</w:t>
      </w:r>
      <w:r w:rsidR="00437336" w:rsidRPr="00437336">
        <w:rPr>
          <w:lang w:val="fr-FR"/>
        </w:rPr>
        <w:t>’</w:t>
      </w:r>
      <w:r w:rsidRPr="00437336">
        <w:rPr>
          <w:lang w:val="fr-FR"/>
        </w:rPr>
        <w:t>ont pas fait preuve de la diligence qui s</w:t>
      </w:r>
      <w:r w:rsidR="00437336" w:rsidRPr="00437336">
        <w:rPr>
          <w:lang w:val="fr-FR"/>
        </w:rPr>
        <w:t>’</w:t>
      </w:r>
      <w:r w:rsidRPr="00437336">
        <w:rPr>
          <w:lang w:val="fr-FR"/>
        </w:rPr>
        <w:t>imposait en l</w:t>
      </w:r>
      <w:r w:rsidR="00437336" w:rsidRPr="00437336">
        <w:rPr>
          <w:lang w:val="fr-FR"/>
        </w:rPr>
        <w:t>’</w:t>
      </w:r>
      <w:r w:rsidRPr="00437336">
        <w:rPr>
          <w:lang w:val="fr-FR"/>
        </w:rPr>
        <w:t xml:space="preserve">espèce et </w:t>
      </w:r>
      <w:r w:rsidR="00A04CB5" w:rsidRPr="00437336">
        <w:rPr>
          <w:lang w:val="fr-FR"/>
        </w:rPr>
        <w:t>sont restées en deçà de ce qu</w:t>
      </w:r>
      <w:r w:rsidR="00437336" w:rsidRPr="00437336">
        <w:rPr>
          <w:lang w:val="fr-FR"/>
        </w:rPr>
        <w:t>’</w:t>
      </w:r>
      <w:r w:rsidR="00A04CB5" w:rsidRPr="00437336">
        <w:rPr>
          <w:lang w:val="fr-FR"/>
        </w:rPr>
        <w:t>on</w:t>
      </w:r>
      <w:r w:rsidRPr="00437336">
        <w:rPr>
          <w:lang w:val="fr-FR"/>
        </w:rPr>
        <w:t xml:space="preserve"> pouvait raisonnablement attendre d</w:t>
      </w:r>
      <w:r w:rsidR="00437336" w:rsidRPr="00437336">
        <w:rPr>
          <w:lang w:val="fr-FR"/>
        </w:rPr>
        <w:t>’</w:t>
      </w:r>
      <w:r w:rsidRPr="00437336">
        <w:rPr>
          <w:lang w:val="fr-FR"/>
        </w:rPr>
        <w:t>elles. En particulier, les juridictions internes n</w:t>
      </w:r>
      <w:r w:rsidR="00437336" w:rsidRPr="00437336">
        <w:rPr>
          <w:lang w:val="fr-FR"/>
        </w:rPr>
        <w:t>’</w:t>
      </w:r>
      <w:r w:rsidRPr="00437336">
        <w:rPr>
          <w:lang w:val="fr-FR"/>
        </w:rPr>
        <w:t>ont pas pris les mesures appropriées pour créer les conditions nécessaires à la pleine réalisation du droit de visite du père de l</w:t>
      </w:r>
      <w:r w:rsidR="00437336" w:rsidRPr="00437336">
        <w:rPr>
          <w:lang w:val="fr-FR"/>
        </w:rPr>
        <w:t>’</w:t>
      </w:r>
      <w:r w:rsidRPr="00437336">
        <w:rPr>
          <w:lang w:val="fr-FR"/>
        </w:rPr>
        <w:t>enfant (</w:t>
      </w:r>
      <w:r w:rsidRPr="00437336">
        <w:rPr>
          <w:i/>
          <w:lang w:val="fr-FR"/>
        </w:rPr>
        <w:t>Bondavalli</w:t>
      </w:r>
      <w:r w:rsidRPr="00437336">
        <w:rPr>
          <w:lang w:val="fr-FR"/>
        </w:rPr>
        <w:t>, précité</w:t>
      </w:r>
      <w:r w:rsidR="0037257C" w:rsidRPr="00437336">
        <w:rPr>
          <w:lang w:val="fr-FR"/>
        </w:rPr>
        <w:t>,</w:t>
      </w:r>
      <w:r w:rsidRPr="00437336">
        <w:rPr>
          <w:lang w:val="fr-FR"/>
        </w:rPr>
        <w:t xml:space="preserve"> § 81, </w:t>
      </w:r>
      <w:r w:rsidRPr="00437336">
        <w:rPr>
          <w:i/>
          <w:lang w:val="fr-FR"/>
        </w:rPr>
        <w:t>Macready c. République tchèque</w:t>
      </w:r>
      <w:r w:rsidRPr="00437336">
        <w:rPr>
          <w:lang w:val="fr-FR"/>
        </w:rPr>
        <w:t>, n</w:t>
      </w:r>
      <w:r w:rsidRPr="00437336">
        <w:rPr>
          <w:vertAlign w:val="superscript"/>
          <w:lang w:val="fr-FR"/>
        </w:rPr>
        <w:t>os</w:t>
      </w:r>
      <w:r w:rsidRPr="00437336">
        <w:rPr>
          <w:lang w:val="fr-FR"/>
        </w:rPr>
        <w:t xml:space="preserve"> 4824/06 et 15512/08, §</w:t>
      </w:r>
      <w:r w:rsidR="00F20BA6" w:rsidRPr="00437336">
        <w:rPr>
          <w:lang w:val="fr-FR"/>
        </w:rPr>
        <w:t> </w:t>
      </w:r>
      <w:r w:rsidRPr="00437336">
        <w:rPr>
          <w:lang w:val="fr-FR"/>
        </w:rPr>
        <w:t xml:space="preserve">66, 22 avril 2010, et </w:t>
      </w:r>
      <w:r w:rsidRPr="00437336">
        <w:rPr>
          <w:i/>
          <w:lang w:val="fr-FR"/>
        </w:rPr>
        <w:t>Piazzi</w:t>
      </w:r>
      <w:r w:rsidRPr="00437336">
        <w:rPr>
          <w:lang w:val="fr-FR"/>
        </w:rPr>
        <w:t>, précité, § 61). Elles n</w:t>
      </w:r>
      <w:r w:rsidR="00437336" w:rsidRPr="00437336">
        <w:rPr>
          <w:lang w:val="fr-FR"/>
        </w:rPr>
        <w:t>’</w:t>
      </w:r>
      <w:r w:rsidRPr="00437336">
        <w:rPr>
          <w:lang w:val="fr-FR"/>
        </w:rPr>
        <w:t>ont pas pris, dès le début de la séparation</w:t>
      </w:r>
      <w:r w:rsidR="007844C7" w:rsidRPr="00437336">
        <w:rPr>
          <w:lang w:val="fr-FR"/>
        </w:rPr>
        <w:t>,</w:t>
      </w:r>
      <w:r w:rsidRPr="00437336">
        <w:rPr>
          <w:lang w:val="fr-FR"/>
        </w:rPr>
        <w:t xml:space="preserve"> des mesures utiles visant à l</w:t>
      </w:r>
      <w:r w:rsidR="00437336" w:rsidRPr="00437336">
        <w:rPr>
          <w:lang w:val="fr-FR"/>
        </w:rPr>
        <w:t>’</w:t>
      </w:r>
      <w:r w:rsidRPr="00437336">
        <w:rPr>
          <w:lang w:val="fr-FR"/>
        </w:rPr>
        <w:t>instauration de contacts effectifs</w:t>
      </w:r>
      <w:r w:rsidR="00A04CB5" w:rsidRPr="00437336">
        <w:rPr>
          <w:lang w:val="fr-FR"/>
        </w:rPr>
        <w:t>.</w:t>
      </w:r>
      <w:r w:rsidRPr="00437336">
        <w:rPr>
          <w:lang w:val="fr-FR"/>
        </w:rPr>
        <w:t xml:space="preserve"> </w:t>
      </w:r>
      <w:r w:rsidR="00A04CB5" w:rsidRPr="00437336">
        <w:rPr>
          <w:lang w:val="fr-FR"/>
        </w:rPr>
        <w:t>E</w:t>
      </w:r>
      <w:r w:rsidRPr="00437336">
        <w:rPr>
          <w:lang w:val="fr-FR"/>
        </w:rPr>
        <w:t xml:space="preserve">lles ont ensuite toléré pendant </w:t>
      </w:r>
      <w:r w:rsidR="00BD40D6" w:rsidRPr="00437336">
        <w:rPr>
          <w:lang w:val="fr-FR"/>
        </w:rPr>
        <w:t>environ quatre ans</w:t>
      </w:r>
      <w:r w:rsidRPr="00437336">
        <w:rPr>
          <w:lang w:val="fr-FR"/>
        </w:rPr>
        <w:t xml:space="preserve"> que la mère, par son comportement, empêchât l</w:t>
      </w:r>
      <w:r w:rsidR="00437336" w:rsidRPr="00437336">
        <w:rPr>
          <w:lang w:val="fr-FR"/>
        </w:rPr>
        <w:t>’</w:t>
      </w:r>
      <w:r w:rsidRPr="00437336">
        <w:rPr>
          <w:lang w:val="fr-FR"/>
        </w:rPr>
        <w:t>établissement d</w:t>
      </w:r>
      <w:r w:rsidR="00437336" w:rsidRPr="00437336">
        <w:rPr>
          <w:lang w:val="fr-FR"/>
        </w:rPr>
        <w:t>’</w:t>
      </w:r>
      <w:r w:rsidRPr="00437336">
        <w:rPr>
          <w:lang w:val="fr-FR"/>
        </w:rPr>
        <w:t>une véritable relation entre le requérant et l</w:t>
      </w:r>
      <w:r w:rsidR="00437336" w:rsidRPr="00437336">
        <w:rPr>
          <w:lang w:val="fr-FR"/>
        </w:rPr>
        <w:t>’</w:t>
      </w:r>
      <w:r w:rsidRPr="00437336">
        <w:rPr>
          <w:lang w:val="fr-FR"/>
        </w:rPr>
        <w:t>enfant. La Cour relève que le déroulement de la procédure devant le tribunal fait plutôt apparaître une série de mesures automatiques et stéréotypées, telles que des demandes successives de renseignements et une délégation du suivi de la famille aux services sociaux assortie de l</w:t>
      </w:r>
      <w:r w:rsidR="00437336" w:rsidRPr="00437336">
        <w:rPr>
          <w:lang w:val="fr-FR"/>
        </w:rPr>
        <w:t>’</w:t>
      </w:r>
      <w:r w:rsidRPr="00437336">
        <w:rPr>
          <w:lang w:val="fr-FR"/>
        </w:rPr>
        <w:t>obligation pour ceux-ci de faire respecter le droit de visite du requérant (</w:t>
      </w:r>
      <w:r w:rsidRPr="00437336">
        <w:rPr>
          <w:i/>
          <w:lang w:val="fr-FR"/>
        </w:rPr>
        <w:t>Lombardo</w:t>
      </w:r>
      <w:r w:rsidRPr="00437336">
        <w:rPr>
          <w:lang w:val="fr-FR"/>
        </w:rPr>
        <w:t xml:space="preserve">, précité § 92, et </w:t>
      </w:r>
      <w:r w:rsidRPr="00437336">
        <w:rPr>
          <w:i/>
          <w:lang w:val="fr-FR"/>
        </w:rPr>
        <w:t>Piazzi</w:t>
      </w:r>
      <w:r w:rsidRPr="00437336">
        <w:rPr>
          <w:lang w:val="fr-FR"/>
        </w:rPr>
        <w:t xml:space="preserve">, précité, § 61). </w:t>
      </w:r>
      <w:r w:rsidR="007844C7" w:rsidRPr="00437336">
        <w:rPr>
          <w:lang w:val="fr-FR"/>
        </w:rPr>
        <w:t xml:space="preserve">Aussi </w:t>
      </w:r>
      <w:r w:rsidR="00C04058" w:rsidRPr="00437336">
        <w:rPr>
          <w:lang w:val="fr-FR"/>
        </w:rPr>
        <w:t>la Cour estime </w:t>
      </w:r>
      <w:r w:rsidR="00C04058" w:rsidRPr="00437336">
        <w:rPr>
          <w:lang w:val="fr-FR"/>
        </w:rPr>
        <w:noBreakHyphen/>
        <w:t> t </w:t>
      </w:r>
      <w:r w:rsidR="00C04058" w:rsidRPr="00437336">
        <w:rPr>
          <w:lang w:val="fr-FR"/>
        </w:rPr>
        <w:noBreakHyphen/>
        <w:t> </w:t>
      </w:r>
      <w:r w:rsidRPr="00437336">
        <w:rPr>
          <w:lang w:val="fr-FR"/>
        </w:rPr>
        <w:t>elle que les autorités ont laissé se consolider une situation de fait installée au mépris des décisions judiciaires</w:t>
      </w:r>
      <w:r w:rsidR="00DE1453" w:rsidRPr="00437336">
        <w:rPr>
          <w:lang w:val="fr-FR"/>
        </w:rPr>
        <w:t xml:space="preserve"> (</w:t>
      </w:r>
      <w:r w:rsidR="00DE1453" w:rsidRPr="00437336">
        <w:rPr>
          <w:i/>
          <w:lang w:val="fr-FR"/>
        </w:rPr>
        <w:t>Fourkiotis</w:t>
      </w:r>
      <w:r w:rsidR="00DE1453" w:rsidRPr="00437336">
        <w:rPr>
          <w:lang w:val="fr-FR"/>
        </w:rPr>
        <w:t>, précité</w:t>
      </w:r>
      <w:r w:rsidR="0037257C" w:rsidRPr="00437336">
        <w:rPr>
          <w:lang w:val="fr-FR"/>
        </w:rPr>
        <w:t>,</w:t>
      </w:r>
      <w:r w:rsidR="00DE1453" w:rsidRPr="00437336">
        <w:rPr>
          <w:lang w:val="fr-FR"/>
        </w:rPr>
        <w:t xml:space="preserve"> §70)</w:t>
      </w:r>
      <w:r w:rsidR="0037257C" w:rsidRPr="00437336">
        <w:rPr>
          <w:lang w:val="fr-FR"/>
        </w:rPr>
        <w:t>.</w:t>
      </w:r>
    </w:p>
    <w:p w:rsidR="00A8487E" w:rsidRPr="00437336" w:rsidRDefault="00A8487E"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76</w:t>
      </w:r>
      <w:r w:rsidRPr="00437336">
        <w:rPr>
          <w:lang w:val="fr-FR"/>
        </w:rPr>
        <w:fldChar w:fldCharType="end"/>
      </w:r>
      <w:r w:rsidRPr="00437336">
        <w:rPr>
          <w:lang w:val="fr-FR"/>
        </w:rPr>
        <w:t>.  Eu égard à ce qui précède et nonobstant la marge d</w:t>
      </w:r>
      <w:r w:rsidR="00437336" w:rsidRPr="00437336">
        <w:rPr>
          <w:lang w:val="fr-FR"/>
        </w:rPr>
        <w:t>’</w:t>
      </w:r>
      <w:r w:rsidRPr="00437336">
        <w:rPr>
          <w:lang w:val="fr-FR"/>
        </w:rPr>
        <w:t>appréciation de l</w:t>
      </w:r>
      <w:r w:rsidR="00437336" w:rsidRPr="00437336">
        <w:rPr>
          <w:lang w:val="fr-FR"/>
        </w:rPr>
        <w:t>’</w:t>
      </w:r>
      <w:r w:rsidRPr="00437336">
        <w:rPr>
          <w:lang w:val="fr-FR"/>
        </w:rPr>
        <w:t>État défendeur en la matière, la Cour considère que les autorités nationales n</w:t>
      </w:r>
      <w:r w:rsidR="00437336" w:rsidRPr="00437336">
        <w:rPr>
          <w:lang w:val="fr-FR"/>
        </w:rPr>
        <w:t>’</w:t>
      </w:r>
      <w:r w:rsidRPr="00437336">
        <w:rPr>
          <w:lang w:val="fr-FR"/>
        </w:rPr>
        <w:t xml:space="preserve">ont pas déployé les efforts adéquats et suffisants pour faire respecter le droit de visite du requérant </w:t>
      </w:r>
      <w:r w:rsidR="00BD40D6" w:rsidRPr="00437336">
        <w:rPr>
          <w:lang w:val="fr-FR"/>
        </w:rPr>
        <w:t xml:space="preserve">entre </w:t>
      </w:r>
      <w:r w:rsidR="003B5B49" w:rsidRPr="00437336">
        <w:rPr>
          <w:lang w:val="fr-FR"/>
        </w:rPr>
        <w:t xml:space="preserve">août </w:t>
      </w:r>
      <w:r w:rsidR="00BD40D6" w:rsidRPr="00437336">
        <w:rPr>
          <w:lang w:val="fr-FR"/>
        </w:rPr>
        <w:t xml:space="preserve">2006 et novembre 2010 </w:t>
      </w:r>
      <w:r w:rsidRPr="00437336">
        <w:rPr>
          <w:lang w:val="fr-FR"/>
        </w:rPr>
        <w:t>et qu</w:t>
      </w:r>
      <w:r w:rsidR="00437336" w:rsidRPr="00437336">
        <w:rPr>
          <w:lang w:val="fr-FR"/>
        </w:rPr>
        <w:t>’</w:t>
      </w:r>
      <w:r w:rsidRPr="00437336">
        <w:rPr>
          <w:lang w:val="fr-FR"/>
        </w:rPr>
        <w:t>elles ont méconnu le droit de l</w:t>
      </w:r>
      <w:r w:rsidR="00437336" w:rsidRPr="00437336">
        <w:rPr>
          <w:lang w:val="fr-FR"/>
        </w:rPr>
        <w:t>’</w:t>
      </w:r>
      <w:r w:rsidRPr="00437336">
        <w:rPr>
          <w:lang w:val="fr-FR"/>
        </w:rPr>
        <w:t>intéressé au respect de sa vie familiale.</w:t>
      </w:r>
    </w:p>
    <w:p w:rsidR="00A8487E" w:rsidRPr="00437336" w:rsidRDefault="00A8487E"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77</w:t>
      </w:r>
      <w:r w:rsidRPr="00437336">
        <w:rPr>
          <w:lang w:val="fr-FR"/>
        </w:rPr>
        <w:fldChar w:fldCharType="end"/>
      </w:r>
      <w:r w:rsidRPr="00437336">
        <w:rPr>
          <w:lang w:val="fr-FR"/>
        </w:rPr>
        <w:t>.  Partant, il y a eu violation de l</w:t>
      </w:r>
      <w:r w:rsidR="00437336" w:rsidRPr="00437336">
        <w:rPr>
          <w:lang w:val="fr-FR"/>
        </w:rPr>
        <w:t>’</w:t>
      </w:r>
      <w:r w:rsidRPr="00437336">
        <w:rPr>
          <w:lang w:val="fr-FR"/>
        </w:rPr>
        <w:t>article 8 de la Convention.</w:t>
      </w:r>
    </w:p>
    <w:p w:rsidR="0017122A" w:rsidRPr="00437336" w:rsidRDefault="00773E1F" w:rsidP="00437336">
      <w:pPr>
        <w:pStyle w:val="ECHRHeading5"/>
        <w:rPr>
          <w:lang w:val="fr-FR"/>
        </w:rPr>
      </w:pPr>
      <w:r w:rsidRPr="00437336">
        <w:rPr>
          <w:lang w:val="fr-FR"/>
        </w:rPr>
        <w:t>ii</w:t>
      </w:r>
      <w:r w:rsidR="00ED44DE" w:rsidRPr="00437336">
        <w:rPr>
          <w:lang w:val="fr-FR"/>
        </w:rPr>
        <w:t>.  </w:t>
      </w:r>
      <w:r w:rsidR="005D0B42" w:rsidRPr="00437336">
        <w:rPr>
          <w:lang w:val="fr-FR"/>
        </w:rPr>
        <w:t xml:space="preserve">Période entre </w:t>
      </w:r>
      <w:r w:rsidR="00CD1297" w:rsidRPr="00437336">
        <w:rPr>
          <w:lang w:val="fr-FR"/>
        </w:rPr>
        <w:t>novembre</w:t>
      </w:r>
      <w:r w:rsidR="005D0B42" w:rsidRPr="00437336">
        <w:rPr>
          <w:lang w:val="fr-FR"/>
        </w:rPr>
        <w:t xml:space="preserve"> 2010 et 201</w:t>
      </w:r>
      <w:r w:rsidR="00145041" w:rsidRPr="00437336">
        <w:rPr>
          <w:lang w:val="fr-FR"/>
        </w:rPr>
        <w:t>6</w:t>
      </w:r>
    </w:p>
    <w:p w:rsidR="00444CA8" w:rsidRPr="00437336" w:rsidRDefault="00444CA8"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78</w:t>
      </w:r>
      <w:r w:rsidRPr="00437336">
        <w:rPr>
          <w:lang w:val="fr-FR"/>
        </w:rPr>
        <w:fldChar w:fldCharType="end"/>
      </w:r>
      <w:r w:rsidRPr="00437336">
        <w:rPr>
          <w:lang w:val="fr-FR"/>
        </w:rPr>
        <w:t>.  </w:t>
      </w:r>
      <w:r w:rsidR="00BD40D6" w:rsidRPr="00437336">
        <w:rPr>
          <w:lang w:val="fr-FR"/>
        </w:rPr>
        <w:t xml:space="preserve">La Cour </w:t>
      </w:r>
      <w:r w:rsidR="006D6E09" w:rsidRPr="00437336">
        <w:rPr>
          <w:lang w:val="fr-FR"/>
        </w:rPr>
        <w:t>observe</w:t>
      </w:r>
      <w:r w:rsidRPr="00437336">
        <w:rPr>
          <w:lang w:val="fr-FR"/>
        </w:rPr>
        <w:t xml:space="preserve"> que, à partir de 2010, les services sociaux ont réagi aux injonctions du tribunal en organisant la tenue des rencontres selon les modalités prévues et que, de son côté, après une première période, le requérant a annulé les vacances du mois d</w:t>
      </w:r>
      <w:r w:rsidR="00437336" w:rsidRPr="00437336">
        <w:rPr>
          <w:lang w:val="fr-FR"/>
        </w:rPr>
        <w:t>’</w:t>
      </w:r>
      <w:r w:rsidRPr="00437336">
        <w:rPr>
          <w:lang w:val="fr-FR"/>
        </w:rPr>
        <w:t>août 2010 prévues avec l</w:t>
      </w:r>
      <w:r w:rsidR="00437336" w:rsidRPr="00437336">
        <w:rPr>
          <w:lang w:val="fr-FR"/>
        </w:rPr>
        <w:t>’</w:t>
      </w:r>
      <w:r w:rsidRPr="00437336">
        <w:rPr>
          <w:lang w:val="fr-FR"/>
        </w:rPr>
        <w:t>enfant et a fait part, en novembre 2010, de son intention de</w:t>
      </w:r>
      <w:r w:rsidR="0037257C" w:rsidRPr="00437336">
        <w:rPr>
          <w:lang w:val="fr-FR"/>
        </w:rPr>
        <w:t xml:space="preserve"> ne plus rencontrer ce dernier.</w:t>
      </w:r>
    </w:p>
    <w:p w:rsidR="00444CA8" w:rsidRPr="00437336" w:rsidRDefault="00444CA8"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79</w:t>
      </w:r>
      <w:r w:rsidRPr="00437336">
        <w:rPr>
          <w:lang w:val="fr-FR"/>
        </w:rPr>
        <w:fldChar w:fldCharType="end"/>
      </w:r>
      <w:r w:rsidRPr="00437336">
        <w:rPr>
          <w:lang w:val="fr-FR"/>
        </w:rPr>
        <w:t>.  À cet égard, la Cour prend note des positions des parties, rappelées ci-</w:t>
      </w:r>
      <w:r w:rsidR="00145041" w:rsidRPr="00437336">
        <w:rPr>
          <w:lang w:val="fr-FR"/>
        </w:rPr>
        <w:t>dessus</w:t>
      </w:r>
      <w:r w:rsidRPr="00437336">
        <w:rPr>
          <w:lang w:val="fr-FR"/>
        </w:rPr>
        <w:t>. D</w:t>
      </w:r>
      <w:r w:rsidR="00437336" w:rsidRPr="00437336">
        <w:rPr>
          <w:lang w:val="fr-FR"/>
        </w:rPr>
        <w:t>’</w:t>
      </w:r>
      <w:r w:rsidRPr="00437336">
        <w:rPr>
          <w:lang w:val="fr-FR"/>
        </w:rPr>
        <w:t xml:space="preserve">une part, le requérant affirme que son comportement se </w:t>
      </w:r>
      <w:r w:rsidRPr="00437336">
        <w:rPr>
          <w:lang w:val="fr-FR"/>
        </w:rPr>
        <w:lastRenderedPageBreak/>
        <w:t>justifiait en raison d</w:t>
      </w:r>
      <w:r w:rsidR="00437336" w:rsidRPr="00437336">
        <w:rPr>
          <w:lang w:val="fr-FR"/>
        </w:rPr>
        <w:t>’</w:t>
      </w:r>
      <w:r w:rsidRPr="00437336">
        <w:rPr>
          <w:lang w:val="fr-FR"/>
        </w:rPr>
        <w:t>une absence de médiation effective de la part des services sociaux face à l</w:t>
      </w:r>
      <w:r w:rsidR="00437336" w:rsidRPr="00437336">
        <w:rPr>
          <w:lang w:val="fr-FR"/>
        </w:rPr>
        <w:t>’</w:t>
      </w:r>
      <w:r w:rsidRPr="00437336">
        <w:rPr>
          <w:lang w:val="fr-FR"/>
        </w:rPr>
        <w:t>attitude de la mère de l</w:t>
      </w:r>
      <w:r w:rsidR="00437336" w:rsidRPr="00437336">
        <w:rPr>
          <w:lang w:val="fr-FR"/>
        </w:rPr>
        <w:t>’</w:t>
      </w:r>
      <w:r w:rsidRPr="00437336">
        <w:rPr>
          <w:lang w:val="fr-FR"/>
        </w:rPr>
        <w:t>enfant, laquelle se serait constamment opposée à l</w:t>
      </w:r>
      <w:r w:rsidR="00437336" w:rsidRPr="00437336">
        <w:rPr>
          <w:lang w:val="fr-FR"/>
        </w:rPr>
        <w:t>’</w:t>
      </w:r>
      <w:r w:rsidRPr="00437336">
        <w:rPr>
          <w:lang w:val="fr-FR"/>
        </w:rPr>
        <w:t>exercice de son droit de visite. D</w:t>
      </w:r>
      <w:r w:rsidR="00437336" w:rsidRPr="00437336">
        <w:rPr>
          <w:lang w:val="fr-FR"/>
        </w:rPr>
        <w:t>’</w:t>
      </w:r>
      <w:r w:rsidRPr="00437336">
        <w:rPr>
          <w:lang w:val="fr-FR"/>
        </w:rPr>
        <w:t>autre part, le Gouvernement considère que les autorités internes ont déployé tous les efforts nécessaires pour protéger l</w:t>
      </w:r>
      <w:r w:rsidR="00437336" w:rsidRPr="00437336">
        <w:rPr>
          <w:lang w:val="fr-FR"/>
        </w:rPr>
        <w:t>’</w:t>
      </w:r>
      <w:r w:rsidRPr="00437336">
        <w:rPr>
          <w:lang w:val="fr-FR"/>
        </w:rPr>
        <w:t>intérêt de l</w:t>
      </w:r>
      <w:r w:rsidR="00437336" w:rsidRPr="00437336">
        <w:rPr>
          <w:lang w:val="fr-FR"/>
        </w:rPr>
        <w:t>’</w:t>
      </w:r>
      <w:r w:rsidRPr="00437336">
        <w:rPr>
          <w:lang w:val="fr-FR"/>
        </w:rPr>
        <w:t>enfant et des deux parents, ce qui ressortirait de l</w:t>
      </w:r>
      <w:r w:rsidR="00437336" w:rsidRPr="00437336">
        <w:rPr>
          <w:lang w:val="fr-FR"/>
        </w:rPr>
        <w:t>’</w:t>
      </w:r>
      <w:r w:rsidRPr="00437336">
        <w:rPr>
          <w:lang w:val="fr-FR"/>
        </w:rPr>
        <w:t>évolution de la situation, et il ajoute que le requérant refuse de coopérer depuis 2010.</w:t>
      </w:r>
    </w:p>
    <w:p w:rsidR="00CD1297" w:rsidRPr="00437336" w:rsidRDefault="00CD1297" w:rsidP="00437336">
      <w:pPr>
        <w:pStyle w:val="ECHRPara"/>
        <w:rPr>
          <w:rFonts w:eastAsia="Times New Roman"/>
          <w:lang w:val="fr-FR" w:eastAsia="en-GB"/>
        </w:rPr>
      </w:pPr>
      <w:r w:rsidRPr="00437336">
        <w:rPr>
          <w:rFonts w:eastAsia="Times New Roman"/>
          <w:lang w:val="fr-FR" w:eastAsia="fr-FR"/>
        </w:rPr>
        <w:fldChar w:fldCharType="begin"/>
      </w:r>
      <w:r w:rsidRPr="00437336">
        <w:rPr>
          <w:rFonts w:eastAsia="Times New Roman"/>
          <w:lang w:val="fr-FR" w:eastAsia="fr-FR"/>
        </w:rPr>
        <w:instrText xml:space="preserve"> SEQ level0 \*arabic </w:instrText>
      </w:r>
      <w:r w:rsidRPr="00437336">
        <w:rPr>
          <w:rFonts w:eastAsia="Times New Roman"/>
          <w:lang w:val="fr-FR" w:eastAsia="fr-FR"/>
        </w:rPr>
        <w:fldChar w:fldCharType="separate"/>
      </w:r>
      <w:r w:rsidR="00C21CB2">
        <w:rPr>
          <w:rFonts w:eastAsia="Times New Roman"/>
          <w:noProof/>
          <w:lang w:val="fr-FR" w:eastAsia="fr-FR"/>
        </w:rPr>
        <w:t>80</w:t>
      </w:r>
      <w:r w:rsidRPr="00437336">
        <w:rPr>
          <w:rFonts w:eastAsia="Times New Roman"/>
          <w:lang w:val="fr-FR" w:eastAsia="fr-FR"/>
        </w:rPr>
        <w:fldChar w:fldCharType="end"/>
      </w:r>
      <w:r w:rsidRPr="00437336">
        <w:rPr>
          <w:rFonts w:eastAsia="Times New Roman"/>
          <w:lang w:val="fr-FR" w:eastAsia="fr-FR"/>
        </w:rPr>
        <w:t>.  En l</w:t>
      </w:r>
      <w:r w:rsidR="00437336" w:rsidRPr="00437336">
        <w:rPr>
          <w:rFonts w:eastAsia="Times New Roman"/>
          <w:lang w:val="fr-FR" w:eastAsia="fr-FR"/>
        </w:rPr>
        <w:t>’</w:t>
      </w:r>
      <w:r w:rsidRPr="00437336">
        <w:rPr>
          <w:rFonts w:eastAsia="Times New Roman"/>
          <w:lang w:val="fr-FR" w:eastAsia="fr-FR"/>
        </w:rPr>
        <w:t>occurrence, la Cour relève que, en</w:t>
      </w:r>
      <w:r w:rsidRPr="00437336">
        <w:rPr>
          <w:rFonts w:eastAsia="Times New Roman"/>
          <w:lang w:val="fr-FR" w:eastAsia="en-GB"/>
        </w:rPr>
        <w:t xml:space="preserve"> avril 2010, après avoir souligné que l</w:t>
      </w:r>
      <w:r w:rsidR="00437336" w:rsidRPr="00437336">
        <w:rPr>
          <w:rFonts w:eastAsia="Times New Roman"/>
          <w:lang w:val="fr-FR" w:eastAsia="en-GB"/>
        </w:rPr>
        <w:t>’</w:t>
      </w:r>
      <w:r w:rsidRPr="00437336">
        <w:rPr>
          <w:rFonts w:eastAsia="Times New Roman"/>
          <w:lang w:val="fr-FR" w:eastAsia="en-GB"/>
        </w:rPr>
        <w:t>enfant souhaitait passer plus de temps avec son père et que sa mère avait sciemment œuvré à empêcher toute relation entre lui et le requérant, le tribunal a chargé les services sociaux de veiller au respect de ses prescriptions. Elle note que, à partir de cette date,</w:t>
      </w:r>
      <w:r w:rsidRPr="00437336">
        <w:rPr>
          <w:rFonts w:eastAsia="Times New Roman"/>
          <w:lang w:val="fr-FR" w:eastAsia="fr-FR"/>
        </w:rPr>
        <w:t xml:space="preserve"> </w:t>
      </w:r>
      <w:r w:rsidRPr="00437336">
        <w:rPr>
          <w:rFonts w:eastAsia="Times New Roman"/>
          <w:lang w:val="fr-FR" w:eastAsia="en-GB"/>
        </w:rPr>
        <w:t xml:space="preserve">plusieurs rencontres ont été </w:t>
      </w:r>
      <w:r w:rsidR="00BD40D6" w:rsidRPr="00437336">
        <w:rPr>
          <w:rFonts w:eastAsia="Times New Roman"/>
          <w:lang w:val="fr-FR" w:eastAsia="en-GB"/>
        </w:rPr>
        <w:t xml:space="preserve">finalement </w:t>
      </w:r>
      <w:r w:rsidR="0037257C" w:rsidRPr="00437336">
        <w:rPr>
          <w:rFonts w:eastAsia="Times New Roman"/>
          <w:lang w:val="fr-FR" w:eastAsia="en-GB"/>
        </w:rPr>
        <w:t>organisées.</w:t>
      </w:r>
    </w:p>
    <w:p w:rsidR="008E3195" w:rsidRPr="00437336" w:rsidRDefault="00CD1297" w:rsidP="00437336">
      <w:pPr>
        <w:pStyle w:val="ECHRPara"/>
        <w:rPr>
          <w:lang w:val="fr-FR" w:eastAsia="fr-FR"/>
        </w:rPr>
      </w:pPr>
      <w:r w:rsidRPr="00437336">
        <w:rPr>
          <w:rFonts w:eastAsia="Times New Roman"/>
          <w:lang w:val="fr-FR" w:eastAsia="fr-FR"/>
        </w:rPr>
        <w:fldChar w:fldCharType="begin"/>
      </w:r>
      <w:r w:rsidRPr="00437336">
        <w:rPr>
          <w:rFonts w:eastAsia="Times New Roman"/>
          <w:lang w:val="fr-FR" w:eastAsia="fr-FR"/>
        </w:rPr>
        <w:instrText xml:space="preserve"> SEQ level0 \*arabic </w:instrText>
      </w:r>
      <w:r w:rsidRPr="00437336">
        <w:rPr>
          <w:rFonts w:eastAsia="Times New Roman"/>
          <w:lang w:val="fr-FR" w:eastAsia="fr-FR"/>
        </w:rPr>
        <w:fldChar w:fldCharType="separate"/>
      </w:r>
      <w:r w:rsidR="00C21CB2">
        <w:rPr>
          <w:rFonts w:eastAsia="Times New Roman"/>
          <w:noProof/>
          <w:lang w:val="fr-FR" w:eastAsia="fr-FR"/>
        </w:rPr>
        <w:t>81</w:t>
      </w:r>
      <w:r w:rsidRPr="00437336">
        <w:rPr>
          <w:rFonts w:eastAsia="Times New Roman"/>
          <w:lang w:val="fr-FR" w:eastAsia="fr-FR"/>
        </w:rPr>
        <w:fldChar w:fldCharType="end"/>
      </w:r>
      <w:r w:rsidRPr="00437336">
        <w:rPr>
          <w:rFonts w:eastAsia="Times New Roman"/>
          <w:lang w:val="fr-FR" w:eastAsia="fr-FR"/>
        </w:rPr>
        <w:t>.  </w:t>
      </w:r>
      <w:r w:rsidR="00A04CB5" w:rsidRPr="00437336">
        <w:rPr>
          <w:rFonts w:eastAsia="Times New Roman"/>
          <w:lang w:val="fr-FR" w:eastAsia="fr-FR"/>
        </w:rPr>
        <w:t>La</w:t>
      </w:r>
      <w:r w:rsidRPr="00437336">
        <w:rPr>
          <w:rFonts w:eastAsia="Times New Roman"/>
          <w:lang w:val="fr-FR" w:eastAsia="fr-FR"/>
        </w:rPr>
        <w:t xml:space="preserve"> Cour note qu</w:t>
      </w:r>
      <w:r w:rsidR="00437336" w:rsidRPr="00437336">
        <w:rPr>
          <w:rFonts w:eastAsia="Times New Roman"/>
          <w:lang w:val="fr-FR" w:eastAsia="fr-FR"/>
        </w:rPr>
        <w:t>’</w:t>
      </w:r>
      <w:r w:rsidRPr="00437336">
        <w:rPr>
          <w:rFonts w:eastAsia="Times New Roman"/>
          <w:lang w:val="fr-FR" w:eastAsia="fr-FR"/>
        </w:rPr>
        <w:t>il ressort des développements récents de la procédure que, depuis 2010, les autorités internes ont déployé des efforts pour permettre l</w:t>
      </w:r>
      <w:r w:rsidR="00437336" w:rsidRPr="00437336">
        <w:rPr>
          <w:rFonts w:eastAsia="Times New Roman"/>
          <w:lang w:val="fr-FR" w:eastAsia="fr-FR"/>
        </w:rPr>
        <w:t>’</w:t>
      </w:r>
      <w:r w:rsidRPr="00437336">
        <w:rPr>
          <w:rFonts w:eastAsia="Times New Roman"/>
          <w:lang w:val="fr-FR" w:eastAsia="fr-FR"/>
        </w:rPr>
        <w:t>exercice du droit de visite du requérant, mais que, de son côté, celui-ci a fait preuve d</w:t>
      </w:r>
      <w:r w:rsidR="00437336" w:rsidRPr="00437336">
        <w:rPr>
          <w:rFonts w:eastAsia="Times New Roman"/>
          <w:lang w:val="fr-FR" w:eastAsia="fr-FR"/>
        </w:rPr>
        <w:t>’</w:t>
      </w:r>
      <w:r w:rsidR="0037257C" w:rsidRPr="00437336">
        <w:rPr>
          <w:rFonts w:eastAsia="Times New Roman"/>
          <w:lang w:val="fr-FR" w:eastAsia="fr-FR"/>
        </w:rPr>
        <w:t xml:space="preserve">une attitude négative </w:t>
      </w:r>
      <w:r w:rsidRPr="00437336">
        <w:rPr>
          <w:rFonts w:eastAsia="Times New Roman"/>
          <w:lang w:val="fr-FR" w:eastAsia="fr-FR"/>
        </w:rPr>
        <w:t>puisqu</w:t>
      </w:r>
      <w:r w:rsidR="00437336" w:rsidRPr="00437336">
        <w:rPr>
          <w:rFonts w:eastAsia="Times New Roman"/>
          <w:lang w:val="fr-FR" w:eastAsia="fr-FR"/>
        </w:rPr>
        <w:t>’</w:t>
      </w:r>
      <w:r w:rsidRPr="00437336">
        <w:rPr>
          <w:rFonts w:eastAsia="Times New Roman"/>
          <w:lang w:val="fr-FR" w:eastAsia="fr-FR"/>
        </w:rPr>
        <w:t>il a d</w:t>
      </w:r>
      <w:r w:rsidR="00437336" w:rsidRPr="00437336">
        <w:rPr>
          <w:rFonts w:eastAsia="Times New Roman"/>
          <w:lang w:val="fr-FR" w:eastAsia="fr-FR"/>
        </w:rPr>
        <w:t>’</w:t>
      </w:r>
      <w:r w:rsidRPr="00437336">
        <w:rPr>
          <w:rFonts w:eastAsia="Times New Roman"/>
          <w:lang w:val="fr-FR" w:eastAsia="fr-FR"/>
        </w:rPr>
        <w:t>abord annulé plusieurs rencontres et a ensuite décidé de ne plus prendre part aux visites. L</w:t>
      </w:r>
      <w:r w:rsidR="00437336" w:rsidRPr="00437336">
        <w:rPr>
          <w:rFonts w:eastAsia="Times New Roman"/>
          <w:lang w:val="fr-FR" w:eastAsia="fr-FR"/>
        </w:rPr>
        <w:t>’</w:t>
      </w:r>
      <w:r w:rsidRPr="00437336">
        <w:rPr>
          <w:rFonts w:eastAsia="Times New Roman"/>
          <w:lang w:val="fr-FR" w:eastAsia="fr-FR"/>
        </w:rPr>
        <w:t xml:space="preserve">intéressé </w:t>
      </w:r>
      <w:r w:rsidRPr="00437336">
        <w:rPr>
          <w:color w:val="000000"/>
          <w:lang w:val="fr-FR"/>
        </w:rPr>
        <w:t>n</w:t>
      </w:r>
      <w:r w:rsidR="00437336" w:rsidRPr="00437336">
        <w:rPr>
          <w:color w:val="000000"/>
          <w:lang w:val="fr-FR"/>
        </w:rPr>
        <w:t>’</w:t>
      </w:r>
      <w:r w:rsidRPr="00437336">
        <w:rPr>
          <w:color w:val="000000"/>
          <w:lang w:val="fr-FR"/>
        </w:rPr>
        <w:t xml:space="preserve">exerce ainsi plus son droit de visite depuis plus de </w:t>
      </w:r>
      <w:r w:rsidR="005720D7" w:rsidRPr="00437336">
        <w:rPr>
          <w:color w:val="000000"/>
          <w:lang w:val="fr-FR"/>
        </w:rPr>
        <w:t>cinq ans</w:t>
      </w:r>
      <w:r w:rsidRPr="00437336">
        <w:rPr>
          <w:color w:val="000000"/>
          <w:lang w:val="fr-FR"/>
        </w:rPr>
        <w:t xml:space="preserve"> et ne fait pas d</w:t>
      </w:r>
      <w:r w:rsidR="00437336" w:rsidRPr="00437336">
        <w:rPr>
          <w:color w:val="000000"/>
          <w:lang w:val="fr-FR"/>
        </w:rPr>
        <w:t>’</w:t>
      </w:r>
      <w:r w:rsidRPr="00437336">
        <w:rPr>
          <w:color w:val="000000"/>
          <w:lang w:val="fr-FR"/>
        </w:rPr>
        <w:t>efforts pour maintenir le lien avec son fils.</w:t>
      </w:r>
      <w:r w:rsidRPr="00437336">
        <w:rPr>
          <w:rFonts w:eastAsia="Times New Roman"/>
          <w:lang w:val="fr-FR" w:eastAsia="fr-FR"/>
        </w:rPr>
        <w:t xml:space="preserve"> La Cour </w:t>
      </w:r>
      <w:r w:rsidR="00327B02" w:rsidRPr="00437336">
        <w:rPr>
          <w:rFonts w:eastAsia="Times New Roman"/>
          <w:lang w:val="fr-FR" w:eastAsia="fr-FR"/>
        </w:rPr>
        <w:t>vient de constater</w:t>
      </w:r>
      <w:r w:rsidRPr="00437336">
        <w:rPr>
          <w:rFonts w:eastAsia="Times New Roman"/>
          <w:lang w:val="fr-FR" w:eastAsia="fr-FR"/>
        </w:rPr>
        <w:t xml:space="preserve"> </w:t>
      </w:r>
      <w:r w:rsidR="005720D7" w:rsidRPr="00437336">
        <w:rPr>
          <w:lang w:val="fr-FR"/>
        </w:rPr>
        <w:t>que les autorités nationales n</w:t>
      </w:r>
      <w:r w:rsidR="00437336" w:rsidRPr="00437336">
        <w:rPr>
          <w:lang w:val="fr-FR"/>
        </w:rPr>
        <w:t>’</w:t>
      </w:r>
      <w:r w:rsidR="005720D7" w:rsidRPr="00437336">
        <w:rPr>
          <w:lang w:val="fr-FR"/>
        </w:rPr>
        <w:t>ont pas déployé des efforts adéquats et suffisants pour faire respecter le droit de visite du requérant e</w:t>
      </w:r>
      <w:r w:rsidR="0037257C" w:rsidRPr="00437336">
        <w:rPr>
          <w:lang w:val="fr-FR"/>
        </w:rPr>
        <w:t>ntre août 2006 et novembre 2010</w:t>
      </w:r>
      <w:r w:rsidR="005720D7" w:rsidRPr="00437336">
        <w:rPr>
          <w:lang w:val="fr-FR"/>
        </w:rPr>
        <w:t xml:space="preserve"> (paragraphe </w:t>
      </w:r>
      <w:r w:rsidR="005554E6" w:rsidRPr="00437336">
        <w:rPr>
          <w:lang w:val="fr-FR"/>
        </w:rPr>
        <w:t xml:space="preserve">76 </w:t>
      </w:r>
      <w:r w:rsidR="005720D7" w:rsidRPr="00437336">
        <w:rPr>
          <w:lang w:val="fr-FR"/>
        </w:rPr>
        <w:t>ci-dessus)</w:t>
      </w:r>
      <w:r w:rsidR="00661BD0" w:rsidRPr="00437336">
        <w:rPr>
          <w:lang w:val="fr-FR"/>
        </w:rPr>
        <w:t xml:space="preserve">. </w:t>
      </w:r>
      <w:r w:rsidR="008E3195" w:rsidRPr="00437336">
        <w:rPr>
          <w:lang w:val="fr-FR" w:eastAsia="fr-FR"/>
        </w:rPr>
        <w:t xml:space="preserve">Les explications fournies par le requérant ne sont pas de nature à justifier son attitude négative à partir de novembre 2010 (voir, </w:t>
      </w:r>
      <w:r w:rsidR="008E3195" w:rsidRPr="00437336">
        <w:rPr>
          <w:i/>
          <w:iCs/>
          <w:lang w:val="fr-FR" w:eastAsia="fr-FR"/>
        </w:rPr>
        <w:t>a contrario</w:t>
      </w:r>
      <w:r w:rsidR="008E3195" w:rsidRPr="00437336">
        <w:rPr>
          <w:lang w:val="fr-FR"/>
        </w:rPr>
        <w:t>,</w:t>
      </w:r>
      <w:r w:rsidR="008E3195" w:rsidRPr="00437336">
        <w:rPr>
          <w:i/>
          <w:iCs/>
          <w:lang w:val="fr-FR"/>
        </w:rPr>
        <w:t xml:space="preserve"> Nicolò Santilli</w:t>
      </w:r>
      <w:r w:rsidR="008E3195" w:rsidRPr="00437336">
        <w:rPr>
          <w:lang w:val="fr-FR"/>
        </w:rPr>
        <w:t>, précité</w:t>
      </w:r>
      <w:r w:rsidR="008E3195" w:rsidRPr="00437336">
        <w:rPr>
          <w:snapToGrid w:val="0"/>
          <w:lang w:val="fr-FR"/>
        </w:rPr>
        <w:t>, § 74)</w:t>
      </w:r>
      <w:r w:rsidR="008E3195" w:rsidRPr="00437336">
        <w:rPr>
          <w:lang w:val="fr-FR" w:eastAsia="fr-FR"/>
        </w:rPr>
        <w:t>, d</w:t>
      </w:r>
      <w:r w:rsidR="00437336" w:rsidRPr="00437336">
        <w:rPr>
          <w:lang w:val="fr-FR" w:eastAsia="fr-FR"/>
        </w:rPr>
        <w:t>’</w:t>
      </w:r>
      <w:r w:rsidR="008E3195" w:rsidRPr="00437336">
        <w:rPr>
          <w:lang w:val="fr-FR" w:eastAsia="fr-FR"/>
        </w:rPr>
        <w:t>autant plus que l</w:t>
      </w:r>
      <w:r w:rsidR="00437336" w:rsidRPr="00437336">
        <w:rPr>
          <w:lang w:val="fr-FR" w:eastAsia="fr-FR"/>
        </w:rPr>
        <w:t>’</w:t>
      </w:r>
      <w:r w:rsidR="008E3195" w:rsidRPr="00437336">
        <w:rPr>
          <w:lang w:val="fr-FR" w:eastAsia="fr-FR"/>
        </w:rPr>
        <w:t>enfant a signalé qu</w:t>
      </w:r>
      <w:r w:rsidR="00437336" w:rsidRPr="00437336">
        <w:rPr>
          <w:lang w:val="fr-FR" w:eastAsia="fr-FR"/>
        </w:rPr>
        <w:t>’</w:t>
      </w:r>
      <w:r w:rsidR="008E3195" w:rsidRPr="00437336">
        <w:rPr>
          <w:lang w:val="fr-FR" w:eastAsia="fr-FR"/>
        </w:rPr>
        <w:t>il percevait cette attitude comme un abandon de la part de son père.</w:t>
      </w:r>
    </w:p>
    <w:p w:rsidR="00055EF9" w:rsidRPr="00437336" w:rsidRDefault="00CD1297" w:rsidP="00437336">
      <w:pPr>
        <w:pStyle w:val="ECHRPara"/>
        <w:rPr>
          <w:rFonts w:eastAsia="Times New Roman"/>
          <w:lang w:val="fr-FR" w:eastAsia="fr-FR"/>
        </w:rPr>
      </w:pPr>
      <w:r w:rsidRPr="00437336">
        <w:rPr>
          <w:rFonts w:eastAsia="Times New Roman"/>
          <w:lang w:val="fr-FR" w:eastAsia="fr-FR"/>
        </w:rPr>
        <w:fldChar w:fldCharType="begin"/>
      </w:r>
      <w:r w:rsidRPr="00437336">
        <w:rPr>
          <w:rFonts w:eastAsia="Times New Roman"/>
          <w:lang w:val="fr-FR" w:eastAsia="fr-FR"/>
        </w:rPr>
        <w:instrText xml:space="preserve"> SEQ level0 \*arabic </w:instrText>
      </w:r>
      <w:r w:rsidRPr="00437336">
        <w:rPr>
          <w:rFonts w:eastAsia="Times New Roman"/>
          <w:lang w:val="fr-FR" w:eastAsia="fr-FR"/>
        </w:rPr>
        <w:fldChar w:fldCharType="separate"/>
      </w:r>
      <w:r w:rsidR="00C21CB2">
        <w:rPr>
          <w:rFonts w:eastAsia="Times New Roman"/>
          <w:noProof/>
          <w:lang w:val="fr-FR" w:eastAsia="fr-FR"/>
        </w:rPr>
        <w:t>82</w:t>
      </w:r>
      <w:r w:rsidRPr="00437336">
        <w:rPr>
          <w:rFonts w:eastAsia="Times New Roman"/>
          <w:lang w:val="fr-FR" w:eastAsia="fr-FR"/>
        </w:rPr>
        <w:fldChar w:fldCharType="end"/>
      </w:r>
      <w:r w:rsidRPr="00437336">
        <w:rPr>
          <w:rFonts w:eastAsia="Times New Roman"/>
          <w:lang w:val="fr-FR" w:eastAsia="fr-FR"/>
        </w:rPr>
        <w:t>.  La Cour estime que, confrontées aux graves incompréhensions existant entre les deux parents</w:t>
      </w:r>
      <w:r w:rsidR="00BD40D6" w:rsidRPr="00437336">
        <w:rPr>
          <w:rFonts w:eastAsia="Times New Roman"/>
          <w:lang w:val="fr-FR" w:eastAsia="fr-FR"/>
        </w:rPr>
        <w:t xml:space="preserve">, les autorités ont pris, à partir de 2010 </w:t>
      </w:r>
      <w:r w:rsidRPr="00437336">
        <w:rPr>
          <w:rFonts w:eastAsia="Times New Roman"/>
          <w:lang w:val="fr-FR" w:eastAsia="fr-FR"/>
        </w:rPr>
        <w:t>les mesures nécessaires pour inciter ceux-ci à collaborer et rétablir les relations entre le requérant et son fils.</w:t>
      </w:r>
    </w:p>
    <w:p w:rsidR="00CD1297" w:rsidRPr="00437336" w:rsidRDefault="00CD1297" w:rsidP="00437336">
      <w:pPr>
        <w:pStyle w:val="ECHRPara"/>
        <w:rPr>
          <w:rFonts w:eastAsia="Times New Roman"/>
          <w:lang w:val="fr-FR" w:eastAsia="fr-FR"/>
        </w:rPr>
      </w:pPr>
      <w:r w:rsidRPr="00437336">
        <w:rPr>
          <w:rFonts w:eastAsia="Times New Roman"/>
          <w:lang w:val="fr-FR" w:eastAsia="fr-FR"/>
        </w:rPr>
        <w:fldChar w:fldCharType="begin"/>
      </w:r>
      <w:r w:rsidRPr="00437336">
        <w:rPr>
          <w:rFonts w:eastAsia="Times New Roman"/>
          <w:lang w:val="fr-FR" w:eastAsia="fr-FR"/>
        </w:rPr>
        <w:instrText xml:space="preserve"> SEQ level0 \*arabic </w:instrText>
      </w:r>
      <w:r w:rsidRPr="00437336">
        <w:rPr>
          <w:rFonts w:eastAsia="Times New Roman"/>
          <w:lang w:val="fr-FR" w:eastAsia="fr-FR"/>
        </w:rPr>
        <w:fldChar w:fldCharType="separate"/>
      </w:r>
      <w:r w:rsidR="00C21CB2">
        <w:rPr>
          <w:rFonts w:eastAsia="Times New Roman"/>
          <w:noProof/>
          <w:lang w:val="fr-FR" w:eastAsia="fr-FR"/>
        </w:rPr>
        <w:t>83</w:t>
      </w:r>
      <w:r w:rsidRPr="00437336">
        <w:rPr>
          <w:rFonts w:eastAsia="Times New Roman"/>
          <w:lang w:val="fr-FR" w:eastAsia="fr-FR"/>
        </w:rPr>
        <w:fldChar w:fldCharType="end"/>
      </w:r>
      <w:r w:rsidRPr="00437336">
        <w:rPr>
          <w:rFonts w:eastAsia="Times New Roman"/>
          <w:lang w:val="fr-FR" w:eastAsia="fr-FR"/>
        </w:rPr>
        <w:t>.  Eu égard à l</w:t>
      </w:r>
      <w:r w:rsidR="00437336" w:rsidRPr="00437336">
        <w:rPr>
          <w:rFonts w:eastAsia="Times New Roman"/>
          <w:lang w:val="fr-FR" w:eastAsia="fr-FR"/>
        </w:rPr>
        <w:t>’</w:t>
      </w:r>
      <w:r w:rsidRPr="00437336">
        <w:rPr>
          <w:rFonts w:eastAsia="Times New Roman"/>
          <w:lang w:val="fr-FR" w:eastAsia="fr-FR"/>
        </w:rPr>
        <w:t>ensemble des éléments qui préc</w:t>
      </w:r>
      <w:r w:rsidR="009532EC" w:rsidRPr="00437336">
        <w:rPr>
          <w:rFonts w:eastAsia="Times New Roman"/>
          <w:lang w:val="fr-FR" w:eastAsia="fr-FR"/>
        </w:rPr>
        <w:t>è</w:t>
      </w:r>
      <w:r w:rsidRPr="00437336">
        <w:rPr>
          <w:rFonts w:eastAsia="Times New Roman"/>
          <w:lang w:val="fr-FR" w:eastAsia="fr-FR"/>
        </w:rPr>
        <w:t>dent et à la marge d</w:t>
      </w:r>
      <w:r w:rsidR="00437336" w:rsidRPr="00437336">
        <w:rPr>
          <w:rFonts w:eastAsia="Times New Roman"/>
          <w:lang w:val="fr-FR" w:eastAsia="fr-FR"/>
        </w:rPr>
        <w:t>’</w:t>
      </w:r>
      <w:r w:rsidRPr="00437336">
        <w:rPr>
          <w:rFonts w:eastAsia="Times New Roman"/>
          <w:lang w:val="fr-FR" w:eastAsia="fr-FR"/>
        </w:rPr>
        <w:t>appréciation de l</w:t>
      </w:r>
      <w:r w:rsidR="00437336" w:rsidRPr="00437336">
        <w:rPr>
          <w:rFonts w:eastAsia="Times New Roman"/>
          <w:lang w:val="fr-FR" w:eastAsia="fr-FR"/>
        </w:rPr>
        <w:t>’</w:t>
      </w:r>
      <w:r w:rsidRPr="00437336">
        <w:rPr>
          <w:rFonts w:eastAsia="Times New Roman"/>
          <w:lang w:val="fr-FR" w:eastAsia="fr-FR"/>
        </w:rPr>
        <w:t xml:space="preserve">État défendeur en la matière, la Cour considère que les autorités nationales </w:t>
      </w:r>
      <w:r w:rsidR="009532EC" w:rsidRPr="00437336">
        <w:rPr>
          <w:rFonts w:eastAsia="Times New Roman"/>
          <w:lang w:val="fr-FR" w:eastAsia="fr-FR"/>
        </w:rPr>
        <w:t>ont,</w:t>
      </w:r>
      <w:r w:rsidR="00145041" w:rsidRPr="00437336">
        <w:rPr>
          <w:rFonts w:eastAsia="Times New Roman"/>
          <w:lang w:val="fr-FR" w:eastAsia="fr-FR"/>
        </w:rPr>
        <w:t xml:space="preserve"> à partir de novembre 2010</w:t>
      </w:r>
      <w:r w:rsidR="009532EC" w:rsidRPr="00437336">
        <w:rPr>
          <w:rFonts w:eastAsia="Times New Roman"/>
          <w:lang w:val="fr-FR" w:eastAsia="fr-FR"/>
        </w:rPr>
        <w:t>,</w:t>
      </w:r>
      <w:r w:rsidR="00145041" w:rsidRPr="00437336">
        <w:rPr>
          <w:rFonts w:eastAsia="Times New Roman"/>
          <w:lang w:val="fr-FR" w:eastAsia="fr-FR"/>
        </w:rPr>
        <w:t xml:space="preserve"> </w:t>
      </w:r>
      <w:r w:rsidRPr="00437336">
        <w:rPr>
          <w:rFonts w:eastAsia="Times New Roman"/>
          <w:lang w:val="fr-FR" w:eastAsia="fr-FR"/>
        </w:rPr>
        <w:t>déployé les efforts que l</w:t>
      </w:r>
      <w:r w:rsidR="00437336" w:rsidRPr="00437336">
        <w:rPr>
          <w:rFonts w:eastAsia="Times New Roman"/>
          <w:lang w:val="fr-FR" w:eastAsia="fr-FR"/>
        </w:rPr>
        <w:t>’</w:t>
      </w:r>
      <w:r w:rsidRPr="00437336">
        <w:rPr>
          <w:rFonts w:eastAsia="Times New Roman"/>
          <w:lang w:val="fr-FR" w:eastAsia="fr-FR"/>
        </w:rPr>
        <w:t>on pouvait raisonnablement exiger d</w:t>
      </w:r>
      <w:r w:rsidR="00437336" w:rsidRPr="00437336">
        <w:rPr>
          <w:rFonts w:eastAsia="Times New Roman"/>
          <w:lang w:val="fr-FR" w:eastAsia="fr-FR"/>
        </w:rPr>
        <w:t>’</w:t>
      </w:r>
      <w:r w:rsidRPr="00437336">
        <w:rPr>
          <w:rFonts w:eastAsia="Times New Roman"/>
          <w:lang w:val="fr-FR" w:eastAsia="fr-FR"/>
        </w:rPr>
        <w:t>elles pour garantir le respect du droit de visite du requérant, conformément aux exigences du droit au respect de la vie familiale garanti par l</w:t>
      </w:r>
      <w:r w:rsidR="00437336" w:rsidRPr="00437336">
        <w:rPr>
          <w:rFonts w:eastAsia="Times New Roman"/>
          <w:lang w:val="fr-FR" w:eastAsia="fr-FR"/>
        </w:rPr>
        <w:t>’</w:t>
      </w:r>
      <w:r w:rsidRPr="00437336">
        <w:rPr>
          <w:rFonts w:eastAsia="Times New Roman"/>
          <w:lang w:val="fr-FR" w:eastAsia="fr-FR"/>
        </w:rPr>
        <w:t xml:space="preserve">article 8 de la Convention. </w:t>
      </w:r>
      <w:r w:rsidR="00F20BA6" w:rsidRPr="00437336">
        <w:rPr>
          <w:rFonts w:eastAsia="Times New Roman"/>
          <w:lang w:val="fr-FR" w:eastAsia="fr-FR"/>
        </w:rPr>
        <w:t>I</w:t>
      </w:r>
      <w:r w:rsidR="00A04CB5" w:rsidRPr="00437336">
        <w:rPr>
          <w:color w:val="000000"/>
          <w:lang w:val="fr-FR"/>
        </w:rPr>
        <w:t>l n</w:t>
      </w:r>
      <w:r w:rsidR="00437336" w:rsidRPr="00437336">
        <w:rPr>
          <w:color w:val="000000"/>
          <w:lang w:val="fr-FR"/>
        </w:rPr>
        <w:t>’</w:t>
      </w:r>
      <w:r w:rsidR="00A04CB5" w:rsidRPr="00437336">
        <w:rPr>
          <w:color w:val="000000"/>
          <w:lang w:val="fr-FR"/>
        </w:rPr>
        <w:t>y a donc pas eu, pour cette période, violation du droit à la vie familiale du requérant.</w:t>
      </w:r>
    </w:p>
    <w:p w:rsidR="00E77CB3" w:rsidRPr="00437336" w:rsidRDefault="003A52D3" w:rsidP="00437336">
      <w:pPr>
        <w:pStyle w:val="ECHRHeading1"/>
        <w:rPr>
          <w:lang w:val="fr-FR"/>
        </w:rPr>
      </w:pPr>
      <w:r w:rsidRPr="00437336">
        <w:rPr>
          <w:lang w:val="fr-FR"/>
        </w:rPr>
        <w:t>II</w:t>
      </w:r>
      <w:r w:rsidR="00E77CB3" w:rsidRPr="00437336">
        <w:rPr>
          <w:lang w:val="fr-FR"/>
        </w:rPr>
        <w:t>.  SUR L</w:t>
      </w:r>
      <w:r w:rsidR="00437336" w:rsidRPr="00437336">
        <w:rPr>
          <w:lang w:val="fr-FR"/>
        </w:rPr>
        <w:t>’</w:t>
      </w:r>
      <w:r w:rsidR="00E77CB3" w:rsidRPr="00437336">
        <w:rPr>
          <w:lang w:val="fr-FR"/>
        </w:rPr>
        <w:t>APPLICATION DE L</w:t>
      </w:r>
      <w:r w:rsidR="00437336" w:rsidRPr="00437336">
        <w:rPr>
          <w:lang w:val="fr-FR"/>
        </w:rPr>
        <w:t>’</w:t>
      </w:r>
      <w:r w:rsidR="00E77CB3" w:rsidRPr="00437336">
        <w:rPr>
          <w:lang w:val="fr-FR"/>
        </w:rPr>
        <w:t>ARTICLE 41 DE LA CONVENTION</w:t>
      </w:r>
    </w:p>
    <w:p w:rsidR="00773E1F" w:rsidRPr="00437336" w:rsidRDefault="00773E1F" w:rsidP="00437336">
      <w:pPr>
        <w:pStyle w:val="ECHRHeading2"/>
      </w:pPr>
      <w:r w:rsidRPr="00437336">
        <w:rPr>
          <w:lang w:val="fr-FR"/>
        </w:rPr>
        <w:t>A.  Dommage</w:t>
      </w:r>
    </w:p>
    <w:p w:rsidR="00E77CB3"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84</w:t>
      </w:r>
      <w:r w:rsidRPr="00437336">
        <w:rPr>
          <w:lang w:val="fr-FR"/>
        </w:rPr>
        <w:fldChar w:fldCharType="end"/>
      </w:r>
      <w:r w:rsidR="00E77CB3" w:rsidRPr="00437336">
        <w:rPr>
          <w:lang w:val="fr-FR"/>
        </w:rPr>
        <w:t>.  Aux termes de l</w:t>
      </w:r>
      <w:r w:rsidR="00437336" w:rsidRPr="00437336">
        <w:rPr>
          <w:lang w:val="fr-FR"/>
        </w:rPr>
        <w:t>’</w:t>
      </w:r>
      <w:r w:rsidR="00E77CB3" w:rsidRPr="00437336">
        <w:rPr>
          <w:lang w:val="fr-FR"/>
        </w:rPr>
        <w:t>article 41 de la Convention,</w:t>
      </w:r>
    </w:p>
    <w:p w:rsidR="00E77CB3" w:rsidRPr="00437336" w:rsidRDefault="00E77CB3" w:rsidP="00437336">
      <w:pPr>
        <w:pStyle w:val="ECHRParaQuote"/>
        <w:keepNext/>
        <w:keepLines/>
        <w:rPr>
          <w:lang w:val="fr-FR"/>
        </w:rPr>
      </w:pPr>
      <w:r w:rsidRPr="00437336">
        <w:rPr>
          <w:lang w:val="fr-FR"/>
        </w:rPr>
        <w:lastRenderedPageBreak/>
        <w:t>« Si la Cour déclare qu</w:t>
      </w:r>
      <w:r w:rsidR="00437336" w:rsidRPr="00437336">
        <w:rPr>
          <w:lang w:val="fr-FR"/>
        </w:rPr>
        <w:t>’</w:t>
      </w:r>
      <w:r w:rsidRPr="00437336">
        <w:rPr>
          <w:lang w:val="fr-FR"/>
        </w:rPr>
        <w:t>il y a eu violation de la Convention ou de ses Protocoles, et si le droit interne de la Haute Partie contractante ne permet d</w:t>
      </w:r>
      <w:r w:rsidR="00437336" w:rsidRPr="00437336">
        <w:rPr>
          <w:lang w:val="fr-FR"/>
        </w:rPr>
        <w:t>’</w:t>
      </w:r>
      <w:r w:rsidRPr="00437336">
        <w:rPr>
          <w:lang w:val="fr-FR"/>
        </w:rPr>
        <w:t>effacer qu</w:t>
      </w:r>
      <w:r w:rsidR="00437336" w:rsidRPr="00437336">
        <w:rPr>
          <w:lang w:val="fr-FR"/>
        </w:rPr>
        <w:t>’</w:t>
      </w:r>
      <w:r w:rsidRPr="00437336">
        <w:rPr>
          <w:lang w:val="fr-FR"/>
        </w:rPr>
        <w:t>imparfaitement les conséquences de cette violation, la Cour accorde à la partie lésée, s</w:t>
      </w:r>
      <w:r w:rsidR="00437336" w:rsidRPr="00437336">
        <w:rPr>
          <w:lang w:val="fr-FR"/>
        </w:rPr>
        <w:t>’</w:t>
      </w:r>
      <w:r w:rsidRPr="00437336">
        <w:rPr>
          <w:lang w:val="fr-FR"/>
        </w:rPr>
        <w:t>il y a lieu, une satisfaction équitable. »</w:t>
      </w:r>
    </w:p>
    <w:p w:rsidR="00437336" w:rsidRPr="00437336" w:rsidRDefault="006179C1"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85</w:t>
      </w:r>
      <w:r w:rsidRPr="00437336">
        <w:rPr>
          <w:lang w:val="fr-FR"/>
        </w:rPr>
        <w:fldChar w:fldCharType="end"/>
      </w:r>
      <w:r w:rsidRPr="00437336">
        <w:rPr>
          <w:lang w:val="fr-FR"/>
        </w:rPr>
        <w:t xml:space="preserve">.  Le requérant réclame </w:t>
      </w:r>
      <w:r w:rsidR="003A52D3" w:rsidRPr="00437336">
        <w:rPr>
          <w:lang w:val="fr-FR"/>
        </w:rPr>
        <w:t>100</w:t>
      </w:r>
      <w:r w:rsidR="005720D7" w:rsidRPr="00437336">
        <w:rPr>
          <w:lang w:val="fr-FR"/>
        </w:rPr>
        <w:t> 000 euros (EUR) pour le préjudice</w:t>
      </w:r>
      <w:r w:rsidRPr="00437336">
        <w:rPr>
          <w:lang w:val="fr-FR"/>
        </w:rPr>
        <w:t xml:space="preserve"> moral qu</w:t>
      </w:r>
      <w:r w:rsidR="00437336" w:rsidRPr="00437336">
        <w:rPr>
          <w:lang w:val="fr-FR"/>
        </w:rPr>
        <w:t>’</w:t>
      </w:r>
      <w:r w:rsidR="005720D7" w:rsidRPr="00437336">
        <w:rPr>
          <w:lang w:val="fr-FR"/>
        </w:rPr>
        <w:t>il dit avoir subi</w:t>
      </w:r>
      <w:r w:rsidRPr="00437336">
        <w:rPr>
          <w:lang w:val="fr-FR"/>
        </w:rPr>
        <w:t xml:space="preserve"> du fait de l</w:t>
      </w:r>
      <w:r w:rsidR="00437336" w:rsidRPr="00437336">
        <w:rPr>
          <w:lang w:val="fr-FR"/>
        </w:rPr>
        <w:t>’</w:t>
      </w:r>
      <w:r w:rsidRPr="00437336">
        <w:rPr>
          <w:lang w:val="fr-FR"/>
        </w:rPr>
        <w:t xml:space="preserve">impossibilité de nouer une relation avec </w:t>
      </w:r>
      <w:r w:rsidR="005720D7" w:rsidRPr="00437336">
        <w:rPr>
          <w:lang w:val="fr-FR"/>
        </w:rPr>
        <w:t>son fils</w:t>
      </w:r>
      <w:r w:rsidRPr="00437336">
        <w:rPr>
          <w:lang w:val="fr-FR"/>
        </w:rPr>
        <w:t>.</w:t>
      </w:r>
    </w:p>
    <w:p w:rsidR="006179C1" w:rsidRPr="00437336" w:rsidRDefault="006179C1"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86</w:t>
      </w:r>
      <w:r w:rsidRPr="00437336">
        <w:rPr>
          <w:lang w:val="fr-FR"/>
        </w:rPr>
        <w:fldChar w:fldCharType="end"/>
      </w:r>
      <w:r w:rsidRPr="00437336">
        <w:rPr>
          <w:lang w:val="fr-FR"/>
        </w:rPr>
        <w:t>.  Le Gouvernement combat cette prétention.</w:t>
      </w:r>
    </w:p>
    <w:p w:rsidR="006179C1" w:rsidRPr="00437336" w:rsidRDefault="006179C1"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87</w:t>
      </w:r>
      <w:r w:rsidRPr="00437336">
        <w:rPr>
          <w:lang w:val="fr-FR"/>
        </w:rPr>
        <w:fldChar w:fldCharType="end"/>
      </w:r>
      <w:r w:rsidRPr="00437336">
        <w:rPr>
          <w:lang w:val="fr-FR"/>
        </w:rPr>
        <w:t>.  </w:t>
      </w:r>
      <w:r w:rsidR="003A52D3" w:rsidRPr="00437336">
        <w:rPr>
          <w:lang w:val="fr-FR"/>
        </w:rPr>
        <w:t>La Cour estime</w:t>
      </w:r>
      <w:r w:rsidR="009532EC" w:rsidRPr="00437336">
        <w:rPr>
          <w:lang w:val="fr-FR"/>
        </w:rPr>
        <w:t>,</w:t>
      </w:r>
      <w:r w:rsidR="003A52D3" w:rsidRPr="00437336">
        <w:rPr>
          <w:lang w:val="fr-FR"/>
        </w:rPr>
        <w:t xml:space="preserve"> eu égard aux circonstances de l</w:t>
      </w:r>
      <w:r w:rsidR="00437336" w:rsidRPr="00437336">
        <w:rPr>
          <w:lang w:val="fr-FR"/>
        </w:rPr>
        <w:t>’</w:t>
      </w:r>
      <w:r w:rsidR="003A52D3" w:rsidRPr="00437336">
        <w:rPr>
          <w:lang w:val="fr-FR"/>
        </w:rPr>
        <w:t xml:space="preserve">espèce, </w:t>
      </w:r>
      <w:r w:rsidR="009532EC" w:rsidRPr="00437336">
        <w:rPr>
          <w:lang w:val="fr-FR"/>
        </w:rPr>
        <w:t xml:space="preserve">que </w:t>
      </w:r>
      <w:r w:rsidR="003A52D3" w:rsidRPr="00437336">
        <w:rPr>
          <w:lang w:val="fr-FR"/>
        </w:rPr>
        <w:t>le constat de violation de l</w:t>
      </w:r>
      <w:r w:rsidR="00437336" w:rsidRPr="00437336">
        <w:rPr>
          <w:lang w:val="fr-FR"/>
        </w:rPr>
        <w:t>’</w:t>
      </w:r>
      <w:r w:rsidR="003A52D3" w:rsidRPr="00437336">
        <w:rPr>
          <w:lang w:val="fr-FR"/>
        </w:rPr>
        <w:t>article 8, pour la période 2006-2010, auquel elle est parvenue constitue une satisfaction équitable suffisante pour tout dommage moral pouvant avoir été subi par le requérant. Elle n</w:t>
      </w:r>
      <w:r w:rsidR="00437336" w:rsidRPr="00437336">
        <w:rPr>
          <w:lang w:val="fr-FR"/>
        </w:rPr>
        <w:t>’</w:t>
      </w:r>
      <w:r w:rsidR="003A52D3" w:rsidRPr="00437336">
        <w:rPr>
          <w:lang w:val="fr-FR"/>
        </w:rPr>
        <w:t>accorde donc aucune somme de ce chef.</w:t>
      </w:r>
    </w:p>
    <w:p w:rsidR="006179C1" w:rsidRPr="00437336" w:rsidRDefault="006179C1" w:rsidP="00437336">
      <w:pPr>
        <w:pStyle w:val="ECHRHeading2"/>
      </w:pPr>
      <w:r w:rsidRPr="00437336">
        <w:rPr>
          <w:lang w:val="fr-FR"/>
        </w:rPr>
        <w:t>B.  Frais et dépens</w:t>
      </w:r>
    </w:p>
    <w:p w:rsidR="003A52D3" w:rsidRPr="00437336" w:rsidRDefault="006179C1"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88</w:t>
      </w:r>
      <w:r w:rsidRPr="00437336">
        <w:rPr>
          <w:lang w:val="fr-FR"/>
        </w:rPr>
        <w:fldChar w:fldCharType="end"/>
      </w:r>
      <w:r w:rsidRPr="00437336">
        <w:rPr>
          <w:lang w:val="fr-FR"/>
        </w:rPr>
        <w:t xml:space="preserve">.  Le requérant demande le remboursement des sommes payées aux avocats </w:t>
      </w:r>
      <w:r w:rsidR="003A52D3" w:rsidRPr="00437336">
        <w:rPr>
          <w:lang w:val="fr-FR"/>
        </w:rPr>
        <w:t xml:space="preserve">dans les procédures internes et devant la Cour ainsi </w:t>
      </w:r>
      <w:r w:rsidR="005219D0" w:rsidRPr="00437336">
        <w:rPr>
          <w:lang w:val="fr-FR"/>
        </w:rPr>
        <w:t>qu</w:t>
      </w:r>
      <w:r w:rsidR="00437336" w:rsidRPr="00437336">
        <w:rPr>
          <w:lang w:val="fr-FR"/>
        </w:rPr>
        <w:t>’</w:t>
      </w:r>
      <w:r w:rsidR="005219D0" w:rsidRPr="00437336">
        <w:rPr>
          <w:lang w:val="fr-FR"/>
        </w:rPr>
        <w:t>aux</w:t>
      </w:r>
      <w:r w:rsidRPr="00437336">
        <w:rPr>
          <w:lang w:val="fr-FR"/>
        </w:rPr>
        <w:t xml:space="preserve"> </w:t>
      </w:r>
      <w:r w:rsidR="005219D0" w:rsidRPr="00437336">
        <w:rPr>
          <w:lang w:val="fr-FR"/>
        </w:rPr>
        <w:t>experts</w:t>
      </w:r>
      <w:r w:rsidRPr="00437336">
        <w:rPr>
          <w:lang w:val="fr-FR"/>
        </w:rPr>
        <w:t xml:space="preserve"> </w:t>
      </w:r>
      <w:r w:rsidR="003A52D3" w:rsidRPr="00437336">
        <w:rPr>
          <w:lang w:val="fr-FR"/>
        </w:rPr>
        <w:t>et réclame le remboursement des frais de voyage en Italie</w:t>
      </w:r>
      <w:r w:rsidR="005219D0" w:rsidRPr="00437336">
        <w:rPr>
          <w:lang w:val="fr-FR"/>
        </w:rPr>
        <w:t xml:space="preserve"> pour participer aux audiences.</w:t>
      </w:r>
    </w:p>
    <w:p w:rsidR="006179C1" w:rsidRPr="00437336" w:rsidRDefault="006179C1"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89</w:t>
      </w:r>
      <w:r w:rsidRPr="00437336">
        <w:rPr>
          <w:lang w:val="fr-FR"/>
        </w:rPr>
        <w:fldChar w:fldCharType="end"/>
      </w:r>
      <w:r w:rsidRPr="00437336">
        <w:rPr>
          <w:lang w:val="fr-FR"/>
        </w:rPr>
        <w:t>.  Le Gouvernement conteste cette demande.</w:t>
      </w:r>
    </w:p>
    <w:p w:rsidR="006179C1" w:rsidRPr="00437336" w:rsidRDefault="006179C1"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90</w:t>
      </w:r>
      <w:r w:rsidRPr="00437336">
        <w:rPr>
          <w:lang w:val="fr-FR"/>
        </w:rPr>
        <w:fldChar w:fldCharType="end"/>
      </w:r>
      <w:r w:rsidRPr="00437336">
        <w:rPr>
          <w:lang w:val="fr-FR"/>
        </w:rPr>
        <w:t>.  </w:t>
      </w:r>
      <w:r w:rsidRPr="00437336">
        <w:rPr>
          <w:rFonts w:eastAsiaTheme="minorHAnsi"/>
          <w:lang w:val="fr-FR"/>
        </w:rPr>
        <w:t>Selon la jurisprudence de la Cour, un requérant ne peut obtenir le remboursement de ses frais et dépens que dans la mesure où se trouvent établis leur réalité, leur nécessité et le caractère raisonnable de leur taux. En outre, lorsque la Cour constate une violation de la Convention, elle n</w:t>
      </w:r>
      <w:r w:rsidR="00437336" w:rsidRPr="00437336">
        <w:rPr>
          <w:rFonts w:eastAsiaTheme="minorHAnsi"/>
          <w:lang w:val="fr-FR"/>
        </w:rPr>
        <w:t>’</w:t>
      </w:r>
      <w:r w:rsidRPr="00437336">
        <w:rPr>
          <w:rFonts w:eastAsiaTheme="minorHAnsi"/>
          <w:lang w:val="fr-FR"/>
        </w:rPr>
        <w:t>accorde au requérant le paiement des frais et dépens qu</w:t>
      </w:r>
      <w:r w:rsidR="00437336" w:rsidRPr="00437336">
        <w:rPr>
          <w:rFonts w:eastAsiaTheme="minorHAnsi"/>
          <w:lang w:val="fr-FR"/>
        </w:rPr>
        <w:t>’</w:t>
      </w:r>
      <w:r w:rsidRPr="00437336">
        <w:rPr>
          <w:rFonts w:eastAsiaTheme="minorHAnsi"/>
          <w:lang w:val="fr-FR"/>
        </w:rPr>
        <w:t xml:space="preserve">il a exposés devant les juridictions nationales que dans la mesure où ils ont été engagés pour prévenir ou faire corriger par celles-ci ladite violation. </w:t>
      </w:r>
      <w:r w:rsidR="003A52D3" w:rsidRPr="00437336">
        <w:rPr>
          <w:lang w:val="fr-FR"/>
        </w:rPr>
        <w:t>En l</w:t>
      </w:r>
      <w:r w:rsidR="00437336" w:rsidRPr="00437336">
        <w:rPr>
          <w:lang w:val="fr-FR"/>
        </w:rPr>
        <w:t>’</w:t>
      </w:r>
      <w:r w:rsidR="003A52D3" w:rsidRPr="00437336">
        <w:rPr>
          <w:lang w:val="fr-FR"/>
        </w:rPr>
        <w:t>espèce, compte tenu des documents dont elle dispose et de sa jurisprudence, la Cour es</w:t>
      </w:r>
      <w:r w:rsidR="00327B02" w:rsidRPr="00437336">
        <w:rPr>
          <w:lang w:val="fr-FR"/>
        </w:rPr>
        <w:t>time raisonnable la somme de 10</w:t>
      </w:r>
      <w:r w:rsidR="003A52D3" w:rsidRPr="00437336">
        <w:rPr>
          <w:lang w:val="fr-FR"/>
        </w:rPr>
        <w:t> 000 EUR tous frais confondus et l</w:t>
      </w:r>
      <w:r w:rsidR="00437336" w:rsidRPr="00437336">
        <w:rPr>
          <w:lang w:val="fr-FR"/>
        </w:rPr>
        <w:t>’</w:t>
      </w:r>
      <w:r w:rsidR="003A52D3" w:rsidRPr="00437336">
        <w:rPr>
          <w:lang w:val="fr-FR"/>
        </w:rPr>
        <w:t>accorde au requérant.</w:t>
      </w:r>
    </w:p>
    <w:p w:rsidR="00E77CB3" w:rsidRPr="00437336" w:rsidRDefault="00E77CB3" w:rsidP="00437336">
      <w:pPr>
        <w:pStyle w:val="ECHRHeading2"/>
        <w:rPr>
          <w:lang w:val="fr-FR"/>
        </w:rPr>
      </w:pPr>
      <w:r w:rsidRPr="00437336">
        <w:rPr>
          <w:lang w:val="fr-FR"/>
        </w:rPr>
        <w:t>C.  Intérêts moratoires</w:t>
      </w:r>
    </w:p>
    <w:p w:rsidR="00BF17F6" w:rsidRPr="00437336" w:rsidRDefault="004A3B56" w:rsidP="00437336">
      <w:pPr>
        <w:pStyle w:val="ECHRPara"/>
        <w:rPr>
          <w:lang w:val="fr-FR"/>
        </w:rPr>
      </w:pPr>
      <w:r w:rsidRPr="00437336">
        <w:rPr>
          <w:lang w:val="fr-FR"/>
        </w:rPr>
        <w:fldChar w:fldCharType="begin"/>
      </w:r>
      <w:r w:rsidRPr="00437336">
        <w:rPr>
          <w:lang w:val="fr-FR"/>
        </w:rPr>
        <w:instrText xml:space="preserve"> SEQ level0 \*arabic </w:instrText>
      </w:r>
      <w:r w:rsidRPr="00437336">
        <w:rPr>
          <w:lang w:val="fr-FR"/>
        </w:rPr>
        <w:fldChar w:fldCharType="separate"/>
      </w:r>
      <w:r w:rsidR="00C21CB2">
        <w:rPr>
          <w:noProof/>
          <w:lang w:val="fr-FR"/>
        </w:rPr>
        <w:t>91</w:t>
      </w:r>
      <w:r w:rsidRPr="00437336">
        <w:rPr>
          <w:lang w:val="fr-FR"/>
        </w:rPr>
        <w:fldChar w:fldCharType="end"/>
      </w:r>
      <w:r w:rsidR="00E77CB3" w:rsidRPr="00437336">
        <w:rPr>
          <w:lang w:val="fr-FR"/>
        </w:rPr>
        <w:t>.  La Cour juge approprié de calquer le taux des intérêts moratoires sur le taux d</w:t>
      </w:r>
      <w:r w:rsidR="00437336" w:rsidRPr="00437336">
        <w:rPr>
          <w:lang w:val="fr-FR"/>
        </w:rPr>
        <w:t>’</w:t>
      </w:r>
      <w:r w:rsidR="00E77CB3" w:rsidRPr="00437336">
        <w:rPr>
          <w:lang w:val="fr-FR"/>
        </w:rPr>
        <w:t>intérêt de la facilité de prêt marginal de la Banque centrale européenne majoré de trois points de pourcentage.</w:t>
      </w:r>
    </w:p>
    <w:p w:rsidR="00E77CB3" w:rsidRPr="00437336" w:rsidRDefault="00E77CB3" w:rsidP="00437336">
      <w:pPr>
        <w:pStyle w:val="ECHRTitle1"/>
        <w:rPr>
          <w:lang w:val="fr-FR"/>
        </w:rPr>
      </w:pPr>
      <w:r w:rsidRPr="00437336">
        <w:rPr>
          <w:lang w:val="fr-FR"/>
        </w:rPr>
        <w:t>PAR CES MOTIFS, LA COUR</w:t>
      </w:r>
      <w:r w:rsidR="004A3B56" w:rsidRPr="00437336">
        <w:rPr>
          <w:lang w:val="fr-FR"/>
        </w:rPr>
        <w:t>, À L</w:t>
      </w:r>
      <w:r w:rsidR="00437336" w:rsidRPr="00437336">
        <w:rPr>
          <w:lang w:val="fr-FR"/>
        </w:rPr>
        <w:t>’</w:t>
      </w:r>
      <w:r w:rsidR="00C04058" w:rsidRPr="00437336">
        <w:rPr>
          <w:lang w:val="fr-FR"/>
        </w:rPr>
        <w:t>UNANIMITÉ,</w:t>
      </w:r>
    </w:p>
    <w:p w:rsidR="005A56B1" w:rsidRPr="00437336" w:rsidRDefault="00FB2B45" w:rsidP="00437336">
      <w:pPr>
        <w:pStyle w:val="JuList"/>
        <w:rPr>
          <w:lang w:val="fr-FR"/>
        </w:rPr>
      </w:pPr>
      <w:r w:rsidRPr="00437336">
        <w:rPr>
          <w:lang w:val="fr-FR"/>
        </w:rPr>
        <w:t>1.  </w:t>
      </w:r>
      <w:r w:rsidRPr="00437336">
        <w:rPr>
          <w:i/>
          <w:lang w:val="fr-FR"/>
        </w:rPr>
        <w:t>Déclare</w:t>
      </w:r>
      <w:r w:rsidRPr="00437336">
        <w:rPr>
          <w:lang w:val="fr-FR"/>
        </w:rPr>
        <w:t xml:space="preserve"> </w:t>
      </w:r>
      <w:r w:rsidR="005720D7" w:rsidRPr="00437336">
        <w:rPr>
          <w:lang w:val="fr-FR"/>
        </w:rPr>
        <w:t>la req</w:t>
      </w:r>
      <w:r w:rsidR="00A04CB5" w:rsidRPr="00437336">
        <w:rPr>
          <w:lang w:val="fr-FR"/>
        </w:rPr>
        <w:t>uête recevable</w:t>
      </w:r>
      <w:r w:rsidR="005E641D" w:rsidRPr="00437336">
        <w:rPr>
          <w:lang w:val="fr-FR"/>
        </w:rPr>
        <w:t xml:space="preserve"> </w:t>
      </w:r>
      <w:r w:rsidR="005A56B1" w:rsidRPr="00437336">
        <w:rPr>
          <w:lang w:val="fr-FR"/>
        </w:rPr>
        <w:t>;</w:t>
      </w:r>
    </w:p>
    <w:p w:rsidR="00054B0B" w:rsidRPr="00437336" w:rsidRDefault="00054B0B" w:rsidP="00437336">
      <w:pPr>
        <w:pStyle w:val="JuList"/>
        <w:rPr>
          <w:lang w:val="fr-FR"/>
        </w:rPr>
      </w:pPr>
    </w:p>
    <w:p w:rsidR="00E77CB3" w:rsidRPr="00437336" w:rsidRDefault="005A56B1" w:rsidP="00437336">
      <w:pPr>
        <w:pStyle w:val="JuList"/>
        <w:rPr>
          <w:lang w:val="fr-FR"/>
        </w:rPr>
      </w:pPr>
      <w:r w:rsidRPr="00437336">
        <w:rPr>
          <w:lang w:val="fr-FR"/>
        </w:rPr>
        <w:lastRenderedPageBreak/>
        <w:t>2</w:t>
      </w:r>
      <w:r w:rsidR="00E77CB3" w:rsidRPr="00437336">
        <w:rPr>
          <w:lang w:val="fr-FR"/>
        </w:rPr>
        <w:t>.  </w:t>
      </w:r>
      <w:r w:rsidR="00E77CB3" w:rsidRPr="00437336">
        <w:rPr>
          <w:i/>
          <w:lang w:val="fr-FR"/>
        </w:rPr>
        <w:t>Dit</w:t>
      </w:r>
      <w:r w:rsidR="00E77CB3" w:rsidRPr="00437336">
        <w:rPr>
          <w:lang w:val="fr-FR"/>
        </w:rPr>
        <w:t xml:space="preserve"> qu</w:t>
      </w:r>
      <w:r w:rsidR="00437336" w:rsidRPr="00437336">
        <w:rPr>
          <w:lang w:val="fr-FR"/>
        </w:rPr>
        <w:t>’</w:t>
      </w:r>
      <w:r w:rsidR="00E77CB3" w:rsidRPr="00437336">
        <w:rPr>
          <w:lang w:val="fr-FR"/>
        </w:rPr>
        <w:t>il y a eu violation de l</w:t>
      </w:r>
      <w:r w:rsidR="00437336" w:rsidRPr="00437336">
        <w:rPr>
          <w:lang w:val="fr-FR"/>
        </w:rPr>
        <w:t>’</w:t>
      </w:r>
      <w:r w:rsidR="00E77CB3" w:rsidRPr="00437336">
        <w:rPr>
          <w:lang w:val="fr-FR"/>
        </w:rPr>
        <w:t xml:space="preserve">article </w:t>
      </w:r>
      <w:r w:rsidRPr="00437336">
        <w:rPr>
          <w:lang w:val="fr-FR"/>
        </w:rPr>
        <w:t>8</w:t>
      </w:r>
      <w:r w:rsidR="00E77CB3" w:rsidRPr="00437336">
        <w:rPr>
          <w:lang w:val="fr-FR"/>
        </w:rPr>
        <w:t xml:space="preserve"> de la Convention</w:t>
      </w:r>
      <w:r w:rsidRPr="00437336">
        <w:rPr>
          <w:lang w:val="fr-FR"/>
        </w:rPr>
        <w:t xml:space="preserve"> pour la période allant de </w:t>
      </w:r>
      <w:r w:rsidR="00327B02" w:rsidRPr="00437336">
        <w:rPr>
          <w:lang w:val="fr-FR"/>
        </w:rPr>
        <w:t>août</w:t>
      </w:r>
      <w:r w:rsidRPr="00437336">
        <w:rPr>
          <w:lang w:val="fr-FR"/>
        </w:rPr>
        <w:t xml:space="preserve"> 2006 à novembre 2010</w:t>
      </w:r>
      <w:r w:rsidR="00E77CB3" w:rsidRPr="00437336">
        <w:rPr>
          <w:lang w:val="fr-FR"/>
        </w:rPr>
        <w:t> ;</w:t>
      </w:r>
    </w:p>
    <w:p w:rsidR="00A04CB5" w:rsidRPr="00437336" w:rsidRDefault="00A04CB5" w:rsidP="00437336">
      <w:pPr>
        <w:pStyle w:val="JuList"/>
        <w:rPr>
          <w:lang w:val="fr-FR"/>
        </w:rPr>
      </w:pPr>
    </w:p>
    <w:p w:rsidR="00054B0B" w:rsidRPr="00437336" w:rsidRDefault="00A04CB5" w:rsidP="00437336">
      <w:pPr>
        <w:pStyle w:val="JuList"/>
        <w:rPr>
          <w:lang w:val="fr-FR"/>
        </w:rPr>
      </w:pPr>
      <w:r w:rsidRPr="00437336">
        <w:rPr>
          <w:lang w:val="fr-FR"/>
        </w:rPr>
        <w:t>3.  </w:t>
      </w:r>
      <w:r w:rsidRPr="00437336">
        <w:rPr>
          <w:i/>
          <w:lang w:val="fr-FR"/>
        </w:rPr>
        <w:t>Dit</w:t>
      </w:r>
      <w:r w:rsidRPr="00437336">
        <w:rPr>
          <w:lang w:val="fr-FR"/>
        </w:rPr>
        <w:t xml:space="preserve"> qu</w:t>
      </w:r>
      <w:r w:rsidR="00437336" w:rsidRPr="00437336">
        <w:rPr>
          <w:lang w:val="fr-FR"/>
        </w:rPr>
        <w:t>’</w:t>
      </w:r>
      <w:r w:rsidRPr="00437336">
        <w:rPr>
          <w:lang w:val="fr-FR"/>
        </w:rPr>
        <w:t>il n</w:t>
      </w:r>
      <w:r w:rsidR="00437336" w:rsidRPr="00437336">
        <w:rPr>
          <w:lang w:val="fr-FR"/>
        </w:rPr>
        <w:t>’</w:t>
      </w:r>
      <w:r w:rsidRPr="00437336">
        <w:rPr>
          <w:lang w:val="fr-FR"/>
        </w:rPr>
        <w:t>y a pas eu violation de l</w:t>
      </w:r>
      <w:r w:rsidR="00437336" w:rsidRPr="00437336">
        <w:rPr>
          <w:lang w:val="fr-FR"/>
        </w:rPr>
        <w:t>’</w:t>
      </w:r>
      <w:r w:rsidRPr="00437336">
        <w:rPr>
          <w:lang w:val="fr-FR"/>
        </w:rPr>
        <w:t>article 8 de la Convention pour la période allant de novembre 2010 à 2016 ;</w:t>
      </w:r>
    </w:p>
    <w:p w:rsidR="00A04CB5" w:rsidRPr="00437336" w:rsidRDefault="00A04CB5" w:rsidP="00437336">
      <w:pPr>
        <w:pStyle w:val="JuList"/>
        <w:rPr>
          <w:lang w:val="fr-FR"/>
        </w:rPr>
      </w:pPr>
    </w:p>
    <w:p w:rsidR="00263412" w:rsidRPr="00437336" w:rsidRDefault="00ED44DE" w:rsidP="00437336">
      <w:pPr>
        <w:pStyle w:val="JuList"/>
        <w:rPr>
          <w:lang w:val="fr-FR"/>
        </w:rPr>
      </w:pPr>
      <w:r w:rsidRPr="00437336">
        <w:rPr>
          <w:lang w:val="fr-FR"/>
        </w:rPr>
        <w:t>4.  </w:t>
      </w:r>
      <w:r w:rsidR="00263412" w:rsidRPr="00437336">
        <w:rPr>
          <w:i/>
          <w:lang w:val="fr-FR"/>
        </w:rPr>
        <w:t>Dit</w:t>
      </w:r>
      <w:r w:rsidR="00263412" w:rsidRPr="00437336">
        <w:rPr>
          <w:lang w:val="fr-FR"/>
        </w:rPr>
        <w:t xml:space="preserve"> que le constat d</w:t>
      </w:r>
      <w:r w:rsidR="00437336" w:rsidRPr="00437336">
        <w:rPr>
          <w:lang w:val="fr-FR"/>
        </w:rPr>
        <w:t>’</w:t>
      </w:r>
      <w:r w:rsidR="00263412" w:rsidRPr="00437336">
        <w:rPr>
          <w:lang w:val="fr-FR"/>
        </w:rPr>
        <w:t>une violation fournit en soi une satisfaction équitable suffisante pour tout dommage moral pouvant avoir été subi par le requérant</w:t>
      </w:r>
      <w:r w:rsidR="0037257C" w:rsidRPr="00437336">
        <w:rPr>
          <w:lang w:val="fr-FR"/>
        </w:rPr>
        <w:t> </w:t>
      </w:r>
      <w:r w:rsidR="00263412" w:rsidRPr="00437336">
        <w:rPr>
          <w:lang w:val="fr-FR"/>
        </w:rPr>
        <w:t>;</w:t>
      </w:r>
    </w:p>
    <w:p w:rsidR="00054B0B" w:rsidRPr="00437336" w:rsidRDefault="00054B0B" w:rsidP="00437336">
      <w:pPr>
        <w:pStyle w:val="JuList"/>
        <w:rPr>
          <w:lang w:val="fr-FR"/>
        </w:rPr>
      </w:pPr>
    </w:p>
    <w:p w:rsidR="00263412" w:rsidRPr="00437336" w:rsidRDefault="00ED44DE" w:rsidP="00437336">
      <w:pPr>
        <w:pStyle w:val="JuList"/>
        <w:rPr>
          <w:lang w:val="fr-FR"/>
        </w:rPr>
      </w:pPr>
      <w:r w:rsidRPr="00437336">
        <w:rPr>
          <w:lang w:val="fr-FR"/>
        </w:rPr>
        <w:t>5</w:t>
      </w:r>
      <w:r w:rsidR="00263412" w:rsidRPr="00437336">
        <w:rPr>
          <w:lang w:val="fr-FR"/>
        </w:rPr>
        <w:t>.  </w:t>
      </w:r>
      <w:r w:rsidR="00263412" w:rsidRPr="00437336">
        <w:rPr>
          <w:i/>
          <w:lang w:val="fr-FR"/>
        </w:rPr>
        <w:t>Dit</w:t>
      </w:r>
      <w:r w:rsidR="008E4198" w:rsidRPr="00437336">
        <w:rPr>
          <w:lang w:val="fr-FR"/>
        </w:rPr>
        <w:t> :</w:t>
      </w:r>
    </w:p>
    <w:p w:rsidR="00E77CB3" w:rsidRPr="00437336" w:rsidRDefault="00263412" w:rsidP="00437336">
      <w:pPr>
        <w:pStyle w:val="JuLista"/>
        <w:rPr>
          <w:lang w:val="fr-FR"/>
        </w:rPr>
      </w:pPr>
      <w:r w:rsidRPr="00437336">
        <w:rPr>
          <w:lang w:val="fr-FR"/>
        </w:rPr>
        <w:t>a)  que l</w:t>
      </w:r>
      <w:r w:rsidR="00437336" w:rsidRPr="00437336">
        <w:rPr>
          <w:lang w:val="fr-FR"/>
        </w:rPr>
        <w:t>’</w:t>
      </w:r>
      <w:r w:rsidRPr="00437336">
        <w:rPr>
          <w:lang w:val="fr-FR"/>
        </w:rPr>
        <w:t>État défendeur doit verser au requérant, dans les trois mois à compter du jour où l</w:t>
      </w:r>
      <w:r w:rsidR="00437336" w:rsidRPr="00437336">
        <w:rPr>
          <w:lang w:val="fr-FR"/>
        </w:rPr>
        <w:t>’</w:t>
      </w:r>
      <w:r w:rsidRPr="00437336">
        <w:rPr>
          <w:lang w:val="fr-FR"/>
        </w:rPr>
        <w:t>arrêt sera devenu définitif conformément à l</w:t>
      </w:r>
      <w:r w:rsidR="00437336" w:rsidRPr="00437336">
        <w:rPr>
          <w:lang w:val="fr-FR"/>
        </w:rPr>
        <w:t>’</w:t>
      </w:r>
      <w:r w:rsidRPr="00437336">
        <w:rPr>
          <w:lang w:val="fr-FR"/>
        </w:rPr>
        <w:t xml:space="preserve">article 44 § 2 de la Convention, </w:t>
      </w:r>
      <w:r w:rsidR="009532EC" w:rsidRPr="00437336">
        <w:rPr>
          <w:lang w:val="fr-FR"/>
        </w:rPr>
        <w:t>10 000 EUR (</w:t>
      </w:r>
      <w:r w:rsidRPr="00437336">
        <w:rPr>
          <w:lang w:val="fr-FR"/>
        </w:rPr>
        <w:t>dix mille euros</w:t>
      </w:r>
      <w:r w:rsidR="00E77CB3" w:rsidRPr="00437336">
        <w:rPr>
          <w:lang w:val="fr-FR"/>
        </w:rPr>
        <w:t xml:space="preserve">), plus tout montant </w:t>
      </w:r>
      <w:r w:rsidR="005E37C6" w:rsidRPr="00437336">
        <w:rPr>
          <w:lang w:val="fr-FR"/>
        </w:rPr>
        <w:t xml:space="preserve">pouvant être dû par </w:t>
      </w:r>
      <w:r w:rsidR="004A3B56" w:rsidRPr="00437336">
        <w:rPr>
          <w:lang w:val="fr-FR"/>
        </w:rPr>
        <w:t>le requérant</w:t>
      </w:r>
      <w:r w:rsidR="005E37C6" w:rsidRPr="00437336">
        <w:rPr>
          <w:lang w:val="fr-FR"/>
        </w:rPr>
        <w:t xml:space="preserve"> à titre d</w:t>
      </w:r>
      <w:r w:rsidR="00437336" w:rsidRPr="00437336">
        <w:rPr>
          <w:lang w:val="fr-FR"/>
        </w:rPr>
        <w:t>’</w:t>
      </w:r>
      <w:r w:rsidR="005E37C6" w:rsidRPr="00437336">
        <w:rPr>
          <w:lang w:val="fr-FR"/>
        </w:rPr>
        <w:t>impôt, pour frais et dépens</w:t>
      </w:r>
      <w:r w:rsidR="00E77CB3" w:rsidRPr="00437336">
        <w:rPr>
          <w:lang w:val="fr-FR"/>
        </w:rPr>
        <w:t> ;</w:t>
      </w:r>
    </w:p>
    <w:p w:rsidR="00E77CB3" w:rsidRPr="00437336" w:rsidRDefault="00E77CB3" w:rsidP="00437336">
      <w:pPr>
        <w:pStyle w:val="JuLista"/>
        <w:rPr>
          <w:lang w:val="fr-FR"/>
        </w:rPr>
      </w:pPr>
      <w:r w:rsidRPr="00437336">
        <w:rPr>
          <w:lang w:val="fr-FR"/>
        </w:rPr>
        <w:t>b)  qu</w:t>
      </w:r>
      <w:r w:rsidR="00437336" w:rsidRPr="00437336">
        <w:rPr>
          <w:lang w:val="fr-FR"/>
        </w:rPr>
        <w:t>’</w:t>
      </w:r>
      <w:r w:rsidRPr="00437336">
        <w:rPr>
          <w:lang w:val="fr-FR"/>
        </w:rPr>
        <w:t>à compter de l</w:t>
      </w:r>
      <w:r w:rsidR="00437336" w:rsidRPr="00437336">
        <w:rPr>
          <w:lang w:val="fr-FR"/>
        </w:rPr>
        <w:t>’</w:t>
      </w:r>
      <w:r w:rsidRPr="00437336">
        <w:rPr>
          <w:lang w:val="fr-FR"/>
        </w:rPr>
        <w:t>expiration dudit délai et jusqu</w:t>
      </w:r>
      <w:r w:rsidR="00437336" w:rsidRPr="00437336">
        <w:rPr>
          <w:lang w:val="fr-FR"/>
        </w:rPr>
        <w:t>’</w:t>
      </w:r>
      <w:r w:rsidRPr="00437336">
        <w:rPr>
          <w:lang w:val="fr-FR"/>
        </w:rPr>
        <w:t>au versement, ces montants seront à majorer d</w:t>
      </w:r>
      <w:r w:rsidR="00437336" w:rsidRPr="00437336">
        <w:rPr>
          <w:lang w:val="fr-FR"/>
        </w:rPr>
        <w:t>’</w:t>
      </w:r>
      <w:r w:rsidRPr="00437336">
        <w:rPr>
          <w:lang w:val="fr-FR"/>
        </w:rPr>
        <w:t>un intérêt simple à un taux égal à celui de la facilité de prêt marginal de la Banque centrale européenne applicable pendant cette période, augmenté de trois points de pourcentage ;</w:t>
      </w:r>
    </w:p>
    <w:p w:rsidR="00E77CB3" w:rsidRPr="00437336" w:rsidRDefault="00E77CB3" w:rsidP="00437336">
      <w:pPr>
        <w:pStyle w:val="JuLista"/>
        <w:rPr>
          <w:lang w:val="fr-FR"/>
        </w:rPr>
      </w:pPr>
    </w:p>
    <w:p w:rsidR="00E77CB3" w:rsidRPr="00437336" w:rsidRDefault="00ED44DE" w:rsidP="00437336">
      <w:pPr>
        <w:pStyle w:val="JuList"/>
        <w:rPr>
          <w:lang w:val="fr-FR"/>
        </w:rPr>
      </w:pPr>
      <w:r w:rsidRPr="00437336">
        <w:rPr>
          <w:lang w:val="fr-FR"/>
        </w:rPr>
        <w:t>6</w:t>
      </w:r>
      <w:r w:rsidR="00E77CB3" w:rsidRPr="00437336">
        <w:rPr>
          <w:lang w:val="fr-FR"/>
        </w:rPr>
        <w:t>.  </w:t>
      </w:r>
      <w:r w:rsidR="00E77CB3" w:rsidRPr="00437336">
        <w:rPr>
          <w:i/>
          <w:lang w:val="fr-FR"/>
        </w:rPr>
        <w:t>Rejette</w:t>
      </w:r>
      <w:r w:rsidR="00E77CB3" w:rsidRPr="00437336">
        <w:rPr>
          <w:lang w:val="fr-FR"/>
        </w:rPr>
        <w:t xml:space="preserve"> la demande de satisfaction équitable pour le surplus.</w:t>
      </w:r>
    </w:p>
    <w:p w:rsidR="00E77CB3" w:rsidRPr="00437336" w:rsidRDefault="00E77CB3" w:rsidP="00437336">
      <w:pPr>
        <w:pStyle w:val="JuParaLast"/>
        <w:rPr>
          <w:lang w:val="fr-FR"/>
        </w:rPr>
      </w:pPr>
      <w:r w:rsidRPr="00437336">
        <w:rPr>
          <w:lang w:val="fr-FR"/>
        </w:rPr>
        <w:t>Fait en français, puis communiqué par écrit le </w:t>
      </w:r>
      <w:r w:rsidR="008E4198" w:rsidRPr="00437336">
        <w:rPr>
          <w:lang w:val="fr-FR"/>
        </w:rPr>
        <w:t>15 septembre 2016</w:t>
      </w:r>
      <w:r w:rsidRPr="00437336">
        <w:rPr>
          <w:lang w:val="fr-FR"/>
        </w:rPr>
        <w:t>, en application de l</w:t>
      </w:r>
      <w:r w:rsidR="00437336" w:rsidRPr="00437336">
        <w:rPr>
          <w:lang w:val="fr-FR"/>
        </w:rPr>
        <w:t>’</w:t>
      </w:r>
      <w:r w:rsidRPr="00437336">
        <w:rPr>
          <w:lang w:val="fr-FR"/>
        </w:rPr>
        <w:t>article 77 §§ 2 et 3 du règlement</w:t>
      </w:r>
      <w:r w:rsidR="00AC0824" w:rsidRPr="00437336">
        <w:rPr>
          <w:lang w:val="fr-FR"/>
        </w:rPr>
        <w:t xml:space="preserve"> de la Cour</w:t>
      </w:r>
      <w:r w:rsidRPr="00437336">
        <w:rPr>
          <w:lang w:val="fr-FR"/>
        </w:rPr>
        <w:t>.</w:t>
      </w:r>
    </w:p>
    <w:p w:rsidR="004D15F3" w:rsidRPr="00437336" w:rsidRDefault="004A3B56" w:rsidP="00437336">
      <w:pPr>
        <w:pStyle w:val="JuSigned"/>
        <w:keepNext/>
        <w:keepLines/>
        <w:tabs>
          <w:tab w:val="clear" w:pos="6407"/>
          <w:tab w:val="center" w:pos="5954"/>
        </w:tabs>
        <w:rPr>
          <w:lang w:val="pt-PT"/>
        </w:rPr>
      </w:pPr>
      <w:r w:rsidRPr="00437336">
        <w:rPr>
          <w:lang w:val="fr-FR"/>
        </w:rPr>
        <w:tab/>
      </w:r>
      <w:r w:rsidRPr="00437336">
        <w:rPr>
          <w:lang w:val="pt-PT"/>
        </w:rPr>
        <w:t>Abel Campos</w:t>
      </w:r>
      <w:r w:rsidR="00E77CB3" w:rsidRPr="00437336">
        <w:rPr>
          <w:lang w:val="pt-PT"/>
        </w:rPr>
        <w:tab/>
      </w:r>
      <w:r w:rsidR="00946D5B" w:rsidRPr="00437336">
        <w:rPr>
          <w:szCs w:val="24"/>
          <w:lang w:val="pt-PT"/>
        </w:rPr>
        <w:t>Mirjana Lazarova Trajkovska</w:t>
      </w:r>
      <w:r w:rsidR="00946D5B" w:rsidRPr="00437336">
        <w:rPr>
          <w:lang w:val="pt-PT"/>
        </w:rPr>
        <w:br/>
      </w:r>
      <w:r w:rsidR="00946D5B" w:rsidRPr="00437336">
        <w:rPr>
          <w:lang w:val="pt-PT"/>
        </w:rPr>
        <w:tab/>
        <w:t>Greffier</w:t>
      </w:r>
      <w:r w:rsidR="00946D5B" w:rsidRPr="00437336">
        <w:rPr>
          <w:lang w:val="pt-PT"/>
        </w:rPr>
        <w:tab/>
        <w:t>Présidente</w:t>
      </w:r>
    </w:p>
    <w:sectPr w:rsidR="004D15F3" w:rsidRPr="00437336" w:rsidSect="000C368D">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5B5" w:rsidRPr="009C5881" w:rsidRDefault="007215B5" w:rsidP="00E77CB3">
      <w:pPr>
        <w:rPr>
          <w:lang w:val="fr-FR"/>
        </w:rPr>
      </w:pPr>
      <w:r w:rsidRPr="009C5881">
        <w:rPr>
          <w:lang w:val="fr-FR"/>
        </w:rPr>
        <w:separator/>
      </w:r>
    </w:p>
  </w:endnote>
  <w:endnote w:type="continuationSeparator" w:id="0">
    <w:p w:rsidR="007215B5" w:rsidRPr="009C5881" w:rsidRDefault="007215B5" w:rsidP="00E77CB3">
      <w:pPr>
        <w:rPr>
          <w:lang w:val="fr-FR"/>
        </w:rPr>
      </w:pPr>
      <w:r w:rsidRPr="009C5881">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74B" w:rsidRPr="00150BFA" w:rsidRDefault="0066274B" w:rsidP="0066274B">
    <w:pPr>
      <w:jc w:val="center"/>
    </w:pPr>
    <w:r>
      <w:rPr>
        <w:noProof/>
        <w:lang w:val="it-IT" w:eastAsia="it-IT"/>
      </w:rPr>
      <w:drawing>
        <wp:inline distT="0" distB="0" distL="0" distR="0" wp14:anchorId="0F6B65C4" wp14:editId="262BD41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66274B" w:rsidRDefault="0066274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5B5" w:rsidRPr="009C5881" w:rsidRDefault="007215B5" w:rsidP="00E77CB3">
      <w:pPr>
        <w:rPr>
          <w:lang w:val="fr-FR"/>
        </w:rPr>
      </w:pPr>
      <w:r w:rsidRPr="009C5881">
        <w:rPr>
          <w:lang w:val="fr-FR"/>
        </w:rPr>
        <w:separator/>
      </w:r>
    </w:p>
  </w:footnote>
  <w:footnote w:type="continuationSeparator" w:id="0">
    <w:p w:rsidR="007215B5" w:rsidRPr="009C5881" w:rsidRDefault="007215B5" w:rsidP="00E77CB3">
      <w:pPr>
        <w:rPr>
          <w:lang w:val="fr-FR"/>
        </w:rPr>
      </w:pPr>
      <w:r w:rsidRPr="009C5881">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74B" w:rsidRPr="000C368D" w:rsidRDefault="0066274B" w:rsidP="000C368D">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74B" w:rsidRPr="00A45145" w:rsidRDefault="0066274B" w:rsidP="0066274B">
    <w:pPr>
      <w:jc w:val="center"/>
    </w:pPr>
    <w:r>
      <w:rPr>
        <w:noProof/>
        <w:lang w:val="it-IT" w:eastAsia="it-IT"/>
      </w:rPr>
      <w:drawing>
        <wp:inline distT="0" distB="0" distL="0" distR="0" wp14:anchorId="65BC7207" wp14:editId="096F570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66274B" w:rsidRDefault="0066274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74B" w:rsidRPr="009C5881" w:rsidRDefault="0066274B" w:rsidP="00C611D8">
    <w:pPr>
      <w:pStyle w:val="ECHRHeader"/>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C21CB2">
      <w:rPr>
        <w:rStyle w:val="Numeropagina"/>
        <w:noProof/>
        <w:lang w:val="fr-FR"/>
      </w:rPr>
      <w:t>14</w:t>
    </w:r>
    <w:r>
      <w:rPr>
        <w:rStyle w:val="Numeropagina"/>
        <w:lang w:val="fr-FR"/>
      </w:rPr>
      <w:fldChar w:fldCharType="end"/>
    </w:r>
    <w:r w:rsidRPr="009C5881">
      <w:rPr>
        <w:rStyle w:val="Numeropagina"/>
        <w:lang w:val="fr-FR"/>
      </w:rPr>
      <w:tab/>
    </w:r>
    <w:r>
      <w:rPr>
        <w:noProof/>
        <w:lang w:val="fr-FR"/>
      </w:rPr>
      <w:t>ARRÊT</w:t>
    </w:r>
    <w:r w:rsidRPr="009C5881">
      <w:rPr>
        <w:lang w:val="fr-FR"/>
      </w:rPr>
      <w:t xml:space="preserve"> </w:t>
    </w:r>
    <w:r>
      <w:rPr>
        <w:lang w:val="fr-FR"/>
      </w:rPr>
      <w:t>GIORGIONI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74B" w:rsidRPr="009C5881" w:rsidRDefault="0066274B" w:rsidP="00C63990">
    <w:pPr>
      <w:pStyle w:val="ECHRHeader"/>
      <w:rPr>
        <w:lang w:val="fr-FR"/>
      </w:rPr>
    </w:pPr>
    <w:r w:rsidRPr="009C5881">
      <w:rPr>
        <w:lang w:val="fr-FR"/>
      </w:rPr>
      <w:tab/>
    </w:r>
    <w:r>
      <w:rPr>
        <w:noProof/>
        <w:lang w:val="fr-FR"/>
      </w:rPr>
      <w:t>ARRÊT</w:t>
    </w:r>
    <w:r w:rsidRPr="009C5881">
      <w:rPr>
        <w:lang w:val="fr-FR"/>
      </w:rPr>
      <w:t xml:space="preserve"> </w:t>
    </w:r>
    <w:r>
      <w:rPr>
        <w:lang w:val="fr-FR"/>
      </w:rPr>
      <w:t>GIORGIONI c. ITALIE</w:t>
    </w:r>
    <w:r w:rsidRPr="009C5881">
      <w:rPr>
        <w:lang w:val="fr-FR"/>
      </w:rPr>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C21CB2">
      <w:rPr>
        <w:rStyle w:val="Numeropagina"/>
        <w:noProof/>
        <w:lang w:val="fr-FR"/>
      </w:rPr>
      <w:t>1</w:t>
    </w:r>
    <w:r>
      <w:rPr>
        <w:rStyle w:val="Numeropagina"/>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4A3B56"/>
    <w:rsid w:val="00001176"/>
    <w:rsid w:val="000041F8"/>
    <w:rsid w:val="000042A8"/>
    <w:rsid w:val="00004308"/>
    <w:rsid w:val="00005BF0"/>
    <w:rsid w:val="00007154"/>
    <w:rsid w:val="000103AE"/>
    <w:rsid w:val="00011D69"/>
    <w:rsid w:val="00012AD3"/>
    <w:rsid w:val="00015C2D"/>
    <w:rsid w:val="00015F00"/>
    <w:rsid w:val="00022C1D"/>
    <w:rsid w:val="00032F74"/>
    <w:rsid w:val="00034987"/>
    <w:rsid w:val="000500DB"/>
    <w:rsid w:val="00054B0B"/>
    <w:rsid w:val="00055EF9"/>
    <w:rsid w:val="000602DF"/>
    <w:rsid w:val="00061B05"/>
    <w:rsid w:val="000632D5"/>
    <w:rsid w:val="000644EE"/>
    <w:rsid w:val="00066A71"/>
    <w:rsid w:val="000707AD"/>
    <w:rsid w:val="000925AD"/>
    <w:rsid w:val="000A24EB"/>
    <w:rsid w:val="000A2E3B"/>
    <w:rsid w:val="000B6923"/>
    <w:rsid w:val="000C368D"/>
    <w:rsid w:val="000C5F3C"/>
    <w:rsid w:val="000C6DCC"/>
    <w:rsid w:val="000D47AA"/>
    <w:rsid w:val="000D721F"/>
    <w:rsid w:val="000E069B"/>
    <w:rsid w:val="000E0E82"/>
    <w:rsid w:val="000E1DC5"/>
    <w:rsid w:val="000E223F"/>
    <w:rsid w:val="000E6E2F"/>
    <w:rsid w:val="000E7D45"/>
    <w:rsid w:val="000F00EF"/>
    <w:rsid w:val="000F6DA4"/>
    <w:rsid w:val="000F7851"/>
    <w:rsid w:val="00104E23"/>
    <w:rsid w:val="00111B0C"/>
    <w:rsid w:val="00120D6C"/>
    <w:rsid w:val="001257EC"/>
    <w:rsid w:val="00126900"/>
    <w:rsid w:val="00133D33"/>
    <w:rsid w:val="00134D64"/>
    <w:rsid w:val="00135A30"/>
    <w:rsid w:val="0013612C"/>
    <w:rsid w:val="00137FF6"/>
    <w:rsid w:val="00141650"/>
    <w:rsid w:val="00145041"/>
    <w:rsid w:val="001516A3"/>
    <w:rsid w:val="0016174F"/>
    <w:rsid w:val="00162A12"/>
    <w:rsid w:val="00166530"/>
    <w:rsid w:val="0017122A"/>
    <w:rsid w:val="001832BD"/>
    <w:rsid w:val="001943B5"/>
    <w:rsid w:val="00195134"/>
    <w:rsid w:val="001A145B"/>
    <w:rsid w:val="001A674C"/>
    <w:rsid w:val="001B3B24"/>
    <w:rsid w:val="001B7FC2"/>
    <w:rsid w:val="001C0F98"/>
    <w:rsid w:val="001C2A42"/>
    <w:rsid w:val="001C41FA"/>
    <w:rsid w:val="001D63ED"/>
    <w:rsid w:val="001D7348"/>
    <w:rsid w:val="001E035B"/>
    <w:rsid w:val="001E0961"/>
    <w:rsid w:val="001E2737"/>
    <w:rsid w:val="001E3EAE"/>
    <w:rsid w:val="001E6F32"/>
    <w:rsid w:val="001F2145"/>
    <w:rsid w:val="001F4E43"/>
    <w:rsid w:val="001F6262"/>
    <w:rsid w:val="001F67B0"/>
    <w:rsid w:val="001F7B3D"/>
    <w:rsid w:val="00205F9F"/>
    <w:rsid w:val="00210338"/>
    <w:rsid w:val="002115FC"/>
    <w:rsid w:val="0021423C"/>
    <w:rsid w:val="0022161F"/>
    <w:rsid w:val="00230D00"/>
    <w:rsid w:val="00231DF7"/>
    <w:rsid w:val="00231FD1"/>
    <w:rsid w:val="002339E0"/>
    <w:rsid w:val="00233CF8"/>
    <w:rsid w:val="0023575D"/>
    <w:rsid w:val="00237148"/>
    <w:rsid w:val="0024222D"/>
    <w:rsid w:val="00244B0E"/>
    <w:rsid w:val="00244F6C"/>
    <w:rsid w:val="002532C5"/>
    <w:rsid w:val="00260C03"/>
    <w:rsid w:val="0026209D"/>
    <w:rsid w:val="00263412"/>
    <w:rsid w:val="0026540E"/>
    <w:rsid w:val="00275123"/>
    <w:rsid w:val="00282240"/>
    <w:rsid w:val="00291379"/>
    <w:rsid w:val="002948AD"/>
    <w:rsid w:val="002A01CC"/>
    <w:rsid w:val="002A61B1"/>
    <w:rsid w:val="002A663C"/>
    <w:rsid w:val="002B444B"/>
    <w:rsid w:val="002B5887"/>
    <w:rsid w:val="002C0E27"/>
    <w:rsid w:val="002C3040"/>
    <w:rsid w:val="002D022D"/>
    <w:rsid w:val="002D23B6"/>
    <w:rsid w:val="002D24BB"/>
    <w:rsid w:val="002E02CB"/>
    <w:rsid w:val="002F2AF7"/>
    <w:rsid w:val="002F7E1C"/>
    <w:rsid w:val="00301A75"/>
    <w:rsid w:val="00302F70"/>
    <w:rsid w:val="0030336F"/>
    <w:rsid w:val="0030375E"/>
    <w:rsid w:val="00312A30"/>
    <w:rsid w:val="00320F72"/>
    <w:rsid w:val="0032463E"/>
    <w:rsid w:val="00326224"/>
    <w:rsid w:val="00327B02"/>
    <w:rsid w:val="00337EE4"/>
    <w:rsid w:val="00340FFD"/>
    <w:rsid w:val="003506B1"/>
    <w:rsid w:val="00354F8C"/>
    <w:rsid w:val="00356AC7"/>
    <w:rsid w:val="003609FA"/>
    <w:rsid w:val="003710C8"/>
    <w:rsid w:val="0037257C"/>
    <w:rsid w:val="003750BE"/>
    <w:rsid w:val="00387B9D"/>
    <w:rsid w:val="0039364F"/>
    <w:rsid w:val="00396686"/>
    <w:rsid w:val="0039778E"/>
    <w:rsid w:val="003A3F5D"/>
    <w:rsid w:val="003A52D3"/>
    <w:rsid w:val="003B2814"/>
    <w:rsid w:val="003B4941"/>
    <w:rsid w:val="003B5B49"/>
    <w:rsid w:val="003C5714"/>
    <w:rsid w:val="003C6B9F"/>
    <w:rsid w:val="003C6E2A"/>
    <w:rsid w:val="003D0299"/>
    <w:rsid w:val="003D491B"/>
    <w:rsid w:val="003E6D80"/>
    <w:rsid w:val="003F05FA"/>
    <w:rsid w:val="003F244A"/>
    <w:rsid w:val="003F30B8"/>
    <w:rsid w:val="003F4C45"/>
    <w:rsid w:val="003F4DC5"/>
    <w:rsid w:val="003F5F7B"/>
    <w:rsid w:val="003F7D64"/>
    <w:rsid w:val="00410B55"/>
    <w:rsid w:val="00414300"/>
    <w:rsid w:val="004147EA"/>
    <w:rsid w:val="00425C67"/>
    <w:rsid w:val="00427E7A"/>
    <w:rsid w:val="00434EC4"/>
    <w:rsid w:val="00436C49"/>
    <w:rsid w:val="00437336"/>
    <w:rsid w:val="00444CA8"/>
    <w:rsid w:val="00445366"/>
    <w:rsid w:val="00447F5B"/>
    <w:rsid w:val="0045067D"/>
    <w:rsid w:val="00461DB0"/>
    <w:rsid w:val="00463926"/>
    <w:rsid w:val="00464C9A"/>
    <w:rsid w:val="004741F5"/>
    <w:rsid w:val="00474F3D"/>
    <w:rsid w:val="00476954"/>
    <w:rsid w:val="00477E3A"/>
    <w:rsid w:val="00480FF4"/>
    <w:rsid w:val="00483E5F"/>
    <w:rsid w:val="00485FF9"/>
    <w:rsid w:val="004907F0"/>
    <w:rsid w:val="0049140B"/>
    <w:rsid w:val="004923A5"/>
    <w:rsid w:val="00493C78"/>
    <w:rsid w:val="00494654"/>
    <w:rsid w:val="00496BFB"/>
    <w:rsid w:val="004A15C7"/>
    <w:rsid w:val="004A3B56"/>
    <w:rsid w:val="004B013B"/>
    <w:rsid w:val="004B112B"/>
    <w:rsid w:val="004C01E4"/>
    <w:rsid w:val="004C086C"/>
    <w:rsid w:val="004C1F56"/>
    <w:rsid w:val="004C27BC"/>
    <w:rsid w:val="004D15F3"/>
    <w:rsid w:val="004D5311"/>
    <w:rsid w:val="004D5DCC"/>
    <w:rsid w:val="004E3EE3"/>
    <w:rsid w:val="004F10AF"/>
    <w:rsid w:val="004F11A4"/>
    <w:rsid w:val="004F2389"/>
    <w:rsid w:val="004F2979"/>
    <w:rsid w:val="004F304D"/>
    <w:rsid w:val="004F61BE"/>
    <w:rsid w:val="004F66B1"/>
    <w:rsid w:val="00500022"/>
    <w:rsid w:val="00511C07"/>
    <w:rsid w:val="005173A6"/>
    <w:rsid w:val="00520BAA"/>
    <w:rsid w:val="005219D0"/>
    <w:rsid w:val="00525208"/>
    <w:rsid w:val="005257A5"/>
    <w:rsid w:val="005264C0"/>
    <w:rsid w:val="00526A8A"/>
    <w:rsid w:val="00531DF2"/>
    <w:rsid w:val="00533423"/>
    <w:rsid w:val="005442EE"/>
    <w:rsid w:val="00547353"/>
    <w:rsid w:val="005474E7"/>
    <w:rsid w:val="005512A3"/>
    <w:rsid w:val="00554FE4"/>
    <w:rsid w:val="005554E6"/>
    <w:rsid w:val="005578CE"/>
    <w:rsid w:val="00562781"/>
    <w:rsid w:val="005720D7"/>
    <w:rsid w:val="0057271C"/>
    <w:rsid w:val="00572845"/>
    <w:rsid w:val="00574C83"/>
    <w:rsid w:val="00592772"/>
    <w:rsid w:val="0059574A"/>
    <w:rsid w:val="0059576C"/>
    <w:rsid w:val="00596468"/>
    <w:rsid w:val="005A02CB"/>
    <w:rsid w:val="005A1B9B"/>
    <w:rsid w:val="005A56B1"/>
    <w:rsid w:val="005A6751"/>
    <w:rsid w:val="005B092E"/>
    <w:rsid w:val="005B152C"/>
    <w:rsid w:val="005B1EE0"/>
    <w:rsid w:val="005B2B24"/>
    <w:rsid w:val="005B4425"/>
    <w:rsid w:val="005B4B94"/>
    <w:rsid w:val="005C3EE8"/>
    <w:rsid w:val="005D0B42"/>
    <w:rsid w:val="005D34F9"/>
    <w:rsid w:val="005D4190"/>
    <w:rsid w:val="005D67A3"/>
    <w:rsid w:val="005E2988"/>
    <w:rsid w:val="005E3085"/>
    <w:rsid w:val="005E37C6"/>
    <w:rsid w:val="005E641D"/>
    <w:rsid w:val="005F51E1"/>
    <w:rsid w:val="00611C80"/>
    <w:rsid w:val="006179C1"/>
    <w:rsid w:val="00620692"/>
    <w:rsid w:val="006242CA"/>
    <w:rsid w:val="00627507"/>
    <w:rsid w:val="00633717"/>
    <w:rsid w:val="006344E1"/>
    <w:rsid w:val="0065298D"/>
    <w:rsid w:val="006545C4"/>
    <w:rsid w:val="00661971"/>
    <w:rsid w:val="00661BD0"/>
    <w:rsid w:val="00661CE8"/>
    <w:rsid w:val="006623D9"/>
    <w:rsid w:val="0066274B"/>
    <w:rsid w:val="0066550C"/>
    <w:rsid w:val="00667B26"/>
    <w:rsid w:val="006716F2"/>
    <w:rsid w:val="00682BF2"/>
    <w:rsid w:val="006859CE"/>
    <w:rsid w:val="00691270"/>
    <w:rsid w:val="00694A2E"/>
    <w:rsid w:val="00694BA8"/>
    <w:rsid w:val="006A037C"/>
    <w:rsid w:val="006A36F4"/>
    <w:rsid w:val="006A406F"/>
    <w:rsid w:val="006A5D3A"/>
    <w:rsid w:val="006B0D26"/>
    <w:rsid w:val="006C1BCB"/>
    <w:rsid w:val="006C23D4"/>
    <w:rsid w:val="006C64BE"/>
    <w:rsid w:val="006C7BB0"/>
    <w:rsid w:val="006D3237"/>
    <w:rsid w:val="006D6E09"/>
    <w:rsid w:val="006E2E37"/>
    <w:rsid w:val="006E3CF1"/>
    <w:rsid w:val="006E7E80"/>
    <w:rsid w:val="006F3508"/>
    <w:rsid w:val="006F48CA"/>
    <w:rsid w:val="006F64DD"/>
    <w:rsid w:val="00704EFF"/>
    <w:rsid w:val="00711B9F"/>
    <w:rsid w:val="00715127"/>
    <w:rsid w:val="00715E8E"/>
    <w:rsid w:val="007215B5"/>
    <w:rsid w:val="00723580"/>
    <w:rsid w:val="00723755"/>
    <w:rsid w:val="0073136C"/>
    <w:rsid w:val="00731F0F"/>
    <w:rsid w:val="00733250"/>
    <w:rsid w:val="00741404"/>
    <w:rsid w:val="007449E5"/>
    <w:rsid w:val="00747189"/>
    <w:rsid w:val="00747FF0"/>
    <w:rsid w:val="00764D4E"/>
    <w:rsid w:val="00765A1F"/>
    <w:rsid w:val="00773E1F"/>
    <w:rsid w:val="00775B6D"/>
    <w:rsid w:val="00776D68"/>
    <w:rsid w:val="007844C7"/>
    <w:rsid w:val="007850EE"/>
    <w:rsid w:val="0078534A"/>
    <w:rsid w:val="00785B95"/>
    <w:rsid w:val="00790E96"/>
    <w:rsid w:val="00793366"/>
    <w:rsid w:val="007952DA"/>
    <w:rsid w:val="007A716F"/>
    <w:rsid w:val="007B270A"/>
    <w:rsid w:val="007B2DF6"/>
    <w:rsid w:val="007B4B56"/>
    <w:rsid w:val="007C0695"/>
    <w:rsid w:val="007C419A"/>
    <w:rsid w:val="007C4CC8"/>
    <w:rsid w:val="007C5426"/>
    <w:rsid w:val="007C5798"/>
    <w:rsid w:val="007D4832"/>
    <w:rsid w:val="007E2152"/>
    <w:rsid w:val="007E21B2"/>
    <w:rsid w:val="007E2C4E"/>
    <w:rsid w:val="007E3ED4"/>
    <w:rsid w:val="007E48C2"/>
    <w:rsid w:val="007F1905"/>
    <w:rsid w:val="007F4F51"/>
    <w:rsid w:val="00801300"/>
    <w:rsid w:val="00802C64"/>
    <w:rsid w:val="00805E52"/>
    <w:rsid w:val="008061D0"/>
    <w:rsid w:val="00810B38"/>
    <w:rsid w:val="008204C7"/>
    <w:rsid w:val="00820992"/>
    <w:rsid w:val="00823602"/>
    <w:rsid w:val="008255F5"/>
    <w:rsid w:val="0083014E"/>
    <w:rsid w:val="0083214A"/>
    <w:rsid w:val="00834220"/>
    <w:rsid w:val="0084351A"/>
    <w:rsid w:val="00845723"/>
    <w:rsid w:val="00851EF9"/>
    <w:rsid w:val="008577FD"/>
    <w:rsid w:val="00860B03"/>
    <w:rsid w:val="0086497A"/>
    <w:rsid w:val="008713A1"/>
    <w:rsid w:val="008754AB"/>
    <w:rsid w:val="00875AB3"/>
    <w:rsid w:val="0088060C"/>
    <w:rsid w:val="00890D63"/>
    <w:rsid w:val="00893576"/>
    <w:rsid w:val="00893E73"/>
    <w:rsid w:val="008B02DC"/>
    <w:rsid w:val="008B57CE"/>
    <w:rsid w:val="008C0220"/>
    <w:rsid w:val="008C26DE"/>
    <w:rsid w:val="008D2225"/>
    <w:rsid w:val="008D4752"/>
    <w:rsid w:val="008D7298"/>
    <w:rsid w:val="008E271C"/>
    <w:rsid w:val="008E3195"/>
    <w:rsid w:val="008E418E"/>
    <w:rsid w:val="008E4198"/>
    <w:rsid w:val="008E5BC6"/>
    <w:rsid w:val="008E6A25"/>
    <w:rsid w:val="008F5193"/>
    <w:rsid w:val="009013A7"/>
    <w:rsid w:val="009017FB"/>
    <w:rsid w:val="009017FC"/>
    <w:rsid w:val="0090506B"/>
    <w:rsid w:val="009050C9"/>
    <w:rsid w:val="009066FC"/>
    <w:rsid w:val="009140A3"/>
    <w:rsid w:val="009144A2"/>
    <w:rsid w:val="0091510C"/>
    <w:rsid w:val="009259AC"/>
    <w:rsid w:val="00926AD5"/>
    <w:rsid w:val="00926F38"/>
    <w:rsid w:val="00934301"/>
    <w:rsid w:val="0093650C"/>
    <w:rsid w:val="00936C2D"/>
    <w:rsid w:val="00936CD1"/>
    <w:rsid w:val="00941747"/>
    <w:rsid w:val="00941EFB"/>
    <w:rsid w:val="00946D5B"/>
    <w:rsid w:val="00947AFB"/>
    <w:rsid w:val="00951D7D"/>
    <w:rsid w:val="009532EC"/>
    <w:rsid w:val="0096022C"/>
    <w:rsid w:val="009630C7"/>
    <w:rsid w:val="00972B55"/>
    <w:rsid w:val="009743B7"/>
    <w:rsid w:val="0098228B"/>
    <w:rsid w:val="009828DA"/>
    <w:rsid w:val="00985BAB"/>
    <w:rsid w:val="009B1B5F"/>
    <w:rsid w:val="009B4E57"/>
    <w:rsid w:val="009B6673"/>
    <w:rsid w:val="009C191B"/>
    <w:rsid w:val="009C2BD6"/>
    <w:rsid w:val="009C5881"/>
    <w:rsid w:val="009D28BD"/>
    <w:rsid w:val="009E1F32"/>
    <w:rsid w:val="009E776C"/>
    <w:rsid w:val="009F7C4A"/>
    <w:rsid w:val="00A00144"/>
    <w:rsid w:val="00A04CB5"/>
    <w:rsid w:val="00A1726E"/>
    <w:rsid w:val="00A204CF"/>
    <w:rsid w:val="00A23D49"/>
    <w:rsid w:val="00A27004"/>
    <w:rsid w:val="00A30C29"/>
    <w:rsid w:val="00A34DD6"/>
    <w:rsid w:val="00A36819"/>
    <w:rsid w:val="00A36989"/>
    <w:rsid w:val="00A43308"/>
    <w:rsid w:val="00A43628"/>
    <w:rsid w:val="00A54192"/>
    <w:rsid w:val="00A6035E"/>
    <w:rsid w:val="00A6144C"/>
    <w:rsid w:val="00A66617"/>
    <w:rsid w:val="00A671F8"/>
    <w:rsid w:val="00A673A4"/>
    <w:rsid w:val="00A67531"/>
    <w:rsid w:val="00A724AE"/>
    <w:rsid w:val="00A73329"/>
    <w:rsid w:val="00A74BC1"/>
    <w:rsid w:val="00A82359"/>
    <w:rsid w:val="00A8487E"/>
    <w:rsid w:val="00A865D2"/>
    <w:rsid w:val="00A879C7"/>
    <w:rsid w:val="00A94C20"/>
    <w:rsid w:val="00AA227F"/>
    <w:rsid w:val="00AA3BC7"/>
    <w:rsid w:val="00AA754A"/>
    <w:rsid w:val="00AB099E"/>
    <w:rsid w:val="00AB4328"/>
    <w:rsid w:val="00AC0824"/>
    <w:rsid w:val="00AC4EBF"/>
    <w:rsid w:val="00AD412E"/>
    <w:rsid w:val="00AE0A2E"/>
    <w:rsid w:val="00AE1794"/>
    <w:rsid w:val="00AE354C"/>
    <w:rsid w:val="00AF4B07"/>
    <w:rsid w:val="00AF5CC8"/>
    <w:rsid w:val="00AF6186"/>
    <w:rsid w:val="00AF7A3A"/>
    <w:rsid w:val="00B0726B"/>
    <w:rsid w:val="00B1078D"/>
    <w:rsid w:val="00B160DB"/>
    <w:rsid w:val="00B20836"/>
    <w:rsid w:val="00B235BB"/>
    <w:rsid w:val="00B27A44"/>
    <w:rsid w:val="00B30BBF"/>
    <w:rsid w:val="00B333A5"/>
    <w:rsid w:val="00B33C03"/>
    <w:rsid w:val="00B44E56"/>
    <w:rsid w:val="00B46543"/>
    <w:rsid w:val="00B47D33"/>
    <w:rsid w:val="00B52BE0"/>
    <w:rsid w:val="00B54133"/>
    <w:rsid w:val="00B701ED"/>
    <w:rsid w:val="00B8086C"/>
    <w:rsid w:val="00B861B4"/>
    <w:rsid w:val="00B86DFE"/>
    <w:rsid w:val="00B90990"/>
    <w:rsid w:val="00B922FF"/>
    <w:rsid w:val="00B9281E"/>
    <w:rsid w:val="00B93925"/>
    <w:rsid w:val="00B93ECF"/>
    <w:rsid w:val="00B95187"/>
    <w:rsid w:val="00B9776F"/>
    <w:rsid w:val="00BA2D55"/>
    <w:rsid w:val="00BA71B1"/>
    <w:rsid w:val="00BB0637"/>
    <w:rsid w:val="00BB345F"/>
    <w:rsid w:val="00BB68EA"/>
    <w:rsid w:val="00BC1C27"/>
    <w:rsid w:val="00BC4A8F"/>
    <w:rsid w:val="00BC6BBF"/>
    <w:rsid w:val="00BD1572"/>
    <w:rsid w:val="00BD40D6"/>
    <w:rsid w:val="00BE14E3"/>
    <w:rsid w:val="00BE3774"/>
    <w:rsid w:val="00BE41E5"/>
    <w:rsid w:val="00BF17F6"/>
    <w:rsid w:val="00BF4109"/>
    <w:rsid w:val="00BF4CC3"/>
    <w:rsid w:val="00C04058"/>
    <w:rsid w:val="00C054C7"/>
    <w:rsid w:val="00C057B5"/>
    <w:rsid w:val="00C06E15"/>
    <w:rsid w:val="00C1262B"/>
    <w:rsid w:val="00C17940"/>
    <w:rsid w:val="00C21CB2"/>
    <w:rsid w:val="00C22687"/>
    <w:rsid w:val="00C32E4D"/>
    <w:rsid w:val="00C333A0"/>
    <w:rsid w:val="00C36408"/>
    <w:rsid w:val="00C36A81"/>
    <w:rsid w:val="00C41974"/>
    <w:rsid w:val="00C53F4A"/>
    <w:rsid w:val="00C54125"/>
    <w:rsid w:val="00C55B54"/>
    <w:rsid w:val="00C6098E"/>
    <w:rsid w:val="00C611D8"/>
    <w:rsid w:val="00C6152C"/>
    <w:rsid w:val="00C63990"/>
    <w:rsid w:val="00C64EF6"/>
    <w:rsid w:val="00C65050"/>
    <w:rsid w:val="00C74810"/>
    <w:rsid w:val="00C7753F"/>
    <w:rsid w:val="00C81A8C"/>
    <w:rsid w:val="00C90D68"/>
    <w:rsid w:val="00C939FE"/>
    <w:rsid w:val="00CA23F8"/>
    <w:rsid w:val="00CA416C"/>
    <w:rsid w:val="00CA4BDA"/>
    <w:rsid w:val="00CB1F66"/>
    <w:rsid w:val="00CB2951"/>
    <w:rsid w:val="00CC3FE5"/>
    <w:rsid w:val="00CC71E6"/>
    <w:rsid w:val="00CD1297"/>
    <w:rsid w:val="00CD282B"/>
    <w:rsid w:val="00CD4C35"/>
    <w:rsid w:val="00CD5BEE"/>
    <w:rsid w:val="00CD7369"/>
    <w:rsid w:val="00CE0B0E"/>
    <w:rsid w:val="00CE3831"/>
    <w:rsid w:val="00CE4FFC"/>
    <w:rsid w:val="00CF5208"/>
    <w:rsid w:val="00D00ABB"/>
    <w:rsid w:val="00D02EEC"/>
    <w:rsid w:val="00D03551"/>
    <w:rsid w:val="00D06A63"/>
    <w:rsid w:val="00D07E0E"/>
    <w:rsid w:val="00D11478"/>
    <w:rsid w:val="00D14E13"/>
    <w:rsid w:val="00D15ED0"/>
    <w:rsid w:val="00D21B3E"/>
    <w:rsid w:val="00D21FED"/>
    <w:rsid w:val="00D24251"/>
    <w:rsid w:val="00D250D7"/>
    <w:rsid w:val="00D260E4"/>
    <w:rsid w:val="00D343E2"/>
    <w:rsid w:val="00D361A2"/>
    <w:rsid w:val="00D37C1F"/>
    <w:rsid w:val="00D42AFF"/>
    <w:rsid w:val="00D43AE1"/>
    <w:rsid w:val="00D44C2E"/>
    <w:rsid w:val="00D45414"/>
    <w:rsid w:val="00D566BD"/>
    <w:rsid w:val="00D576CF"/>
    <w:rsid w:val="00D57A4D"/>
    <w:rsid w:val="00D60AA7"/>
    <w:rsid w:val="00D6435F"/>
    <w:rsid w:val="00D668C6"/>
    <w:rsid w:val="00D75E28"/>
    <w:rsid w:val="00D772C2"/>
    <w:rsid w:val="00D8008E"/>
    <w:rsid w:val="00D82C45"/>
    <w:rsid w:val="00D908A8"/>
    <w:rsid w:val="00D977B6"/>
    <w:rsid w:val="00DA4A31"/>
    <w:rsid w:val="00DA7B04"/>
    <w:rsid w:val="00DB36C2"/>
    <w:rsid w:val="00DC169B"/>
    <w:rsid w:val="00DC2AB9"/>
    <w:rsid w:val="00DC63F0"/>
    <w:rsid w:val="00DD4AAB"/>
    <w:rsid w:val="00DD5146"/>
    <w:rsid w:val="00DD5431"/>
    <w:rsid w:val="00DD6EE5"/>
    <w:rsid w:val="00DE1453"/>
    <w:rsid w:val="00DE386C"/>
    <w:rsid w:val="00DE4D35"/>
    <w:rsid w:val="00DF098B"/>
    <w:rsid w:val="00DF11C4"/>
    <w:rsid w:val="00DF210C"/>
    <w:rsid w:val="00DF4B6A"/>
    <w:rsid w:val="00E01E65"/>
    <w:rsid w:val="00E02C09"/>
    <w:rsid w:val="00E04D59"/>
    <w:rsid w:val="00E07DA1"/>
    <w:rsid w:val="00E123CB"/>
    <w:rsid w:val="00E20E13"/>
    <w:rsid w:val="00E21DBC"/>
    <w:rsid w:val="00E22A27"/>
    <w:rsid w:val="00E275D7"/>
    <w:rsid w:val="00E27DBE"/>
    <w:rsid w:val="00E32AB1"/>
    <w:rsid w:val="00E36C71"/>
    <w:rsid w:val="00E40404"/>
    <w:rsid w:val="00E40595"/>
    <w:rsid w:val="00E417FE"/>
    <w:rsid w:val="00E4529A"/>
    <w:rsid w:val="00E459C6"/>
    <w:rsid w:val="00E47589"/>
    <w:rsid w:val="00E5221D"/>
    <w:rsid w:val="00E64915"/>
    <w:rsid w:val="00E661D4"/>
    <w:rsid w:val="00E70091"/>
    <w:rsid w:val="00E720F5"/>
    <w:rsid w:val="00E76D47"/>
    <w:rsid w:val="00E77CB3"/>
    <w:rsid w:val="00E849F7"/>
    <w:rsid w:val="00E90302"/>
    <w:rsid w:val="00E97396"/>
    <w:rsid w:val="00EA185E"/>
    <w:rsid w:val="00EA592A"/>
    <w:rsid w:val="00EB14E4"/>
    <w:rsid w:val="00EB32A5"/>
    <w:rsid w:val="00EB34ED"/>
    <w:rsid w:val="00EB7BE0"/>
    <w:rsid w:val="00EB7E63"/>
    <w:rsid w:val="00EC315E"/>
    <w:rsid w:val="00ED077C"/>
    <w:rsid w:val="00ED1190"/>
    <w:rsid w:val="00ED44DE"/>
    <w:rsid w:val="00ED4DFE"/>
    <w:rsid w:val="00ED6544"/>
    <w:rsid w:val="00EE0277"/>
    <w:rsid w:val="00EE3E00"/>
    <w:rsid w:val="00EE5DD2"/>
    <w:rsid w:val="00EF0A2E"/>
    <w:rsid w:val="00EF63C2"/>
    <w:rsid w:val="00F00A79"/>
    <w:rsid w:val="00F00E86"/>
    <w:rsid w:val="00F07C1E"/>
    <w:rsid w:val="00F105DB"/>
    <w:rsid w:val="00F132BC"/>
    <w:rsid w:val="00F13447"/>
    <w:rsid w:val="00F13D80"/>
    <w:rsid w:val="00F16AAA"/>
    <w:rsid w:val="00F20BA6"/>
    <w:rsid w:val="00F21161"/>
    <w:rsid w:val="00F218EF"/>
    <w:rsid w:val="00F21BC7"/>
    <w:rsid w:val="00F266A2"/>
    <w:rsid w:val="00F30357"/>
    <w:rsid w:val="00F32269"/>
    <w:rsid w:val="00F54C21"/>
    <w:rsid w:val="00F56A6F"/>
    <w:rsid w:val="00F5709C"/>
    <w:rsid w:val="00F64EF1"/>
    <w:rsid w:val="00F8765F"/>
    <w:rsid w:val="00F90767"/>
    <w:rsid w:val="00FA685B"/>
    <w:rsid w:val="00FB0C01"/>
    <w:rsid w:val="00FB2B45"/>
    <w:rsid w:val="00FC18F2"/>
    <w:rsid w:val="00FC39E5"/>
    <w:rsid w:val="00FC3A78"/>
    <w:rsid w:val="00FD1005"/>
    <w:rsid w:val="00FD4EF3"/>
    <w:rsid w:val="00FD6C75"/>
    <w:rsid w:val="00FE71B3"/>
    <w:rsid w:val="00FF245F"/>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437336"/>
    <w:pPr>
      <w:jc w:val="both"/>
    </w:pPr>
    <w:rPr>
      <w:rFonts w:eastAsiaTheme="minorEastAsia"/>
      <w:sz w:val="24"/>
    </w:rPr>
  </w:style>
  <w:style w:type="paragraph" w:styleId="Titolo1">
    <w:name w:val="heading 1"/>
    <w:basedOn w:val="Normale"/>
    <w:next w:val="Normale"/>
    <w:link w:val="Titolo1Carattere"/>
    <w:uiPriority w:val="99"/>
    <w:semiHidden/>
    <w:rsid w:val="00437336"/>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437336"/>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437336"/>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437336"/>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437336"/>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43733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437336"/>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437336"/>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437336"/>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373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7336"/>
    <w:rPr>
      <w:rFonts w:ascii="Tahoma" w:eastAsiaTheme="minorEastAsia" w:hAnsi="Tahoma" w:cs="Tahoma"/>
      <w:sz w:val="16"/>
      <w:szCs w:val="16"/>
    </w:rPr>
  </w:style>
  <w:style w:type="character" w:styleId="Titolodellibro">
    <w:name w:val="Book Title"/>
    <w:uiPriority w:val="99"/>
    <w:semiHidden/>
    <w:qFormat/>
    <w:rsid w:val="00437336"/>
    <w:rPr>
      <w:i/>
      <w:iCs/>
      <w:smallCaps/>
      <w:spacing w:val="5"/>
    </w:rPr>
  </w:style>
  <w:style w:type="paragraph" w:customStyle="1" w:styleId="ECHRHeader">
    <w:name w:val="ECHR_Header"/>
    <w:aliases w:val="Ju_Header"/>
    <w:basedOn w:val="Intestazione"/>
    <w:uiPriority w:val="4"/>
    <w:qFormat/>
    <w:rsid w:val="00437336"/>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437336"/>
    <w:pPr>
      <w:jc w:val="left"/>
    </w:pPr>
    <w:rPr>
      <w:sz w:val="8"/>
    </w:rPr>
  </w:style>
  <w:style w:type="character" w:styleId="Enfasigrassetto">
    <w:name w:val="Strong"/>
    <w:uiPriority w:val="99"/>
    <w:semiHidden/>
    <w:qFormat/>
    <w:rsid w:val="00437336"/>
    <w:rPr>
      <w:b/>
      <w:bCs/>
    </w:rPr>
  </w:style>
  <w:style w:type="paragraph" w:styleId="Nessunaspaziatura">
    <w:name w:val="No Spacing"/>
    <w:basedOn w:val="Normale"/>
    <w:link w:val="NessunaspaziaturaCarattere"/>
    <w:semiHidden/>
    <w:qFormat/>
    <w:rsid w:val="00437336"/>
    <w:rPr>
      <w:sz w:val="22"/>
    </w:rPr>
  </w:style>
  <w:style w:type="character" w:customStyle="1" w:styleId="NessunaspaziaturaCarattere">
    <w:name w:val="Nessuna spaziatura Carattere"/>
    <w:basedOn w:val="Carpredefinitoparagrafo"/>
    <w:link w:val="Nessunaspaziatura"/>
    <w:semiHidden/>
    <w:rsid w:val="00437336"/>
    <w:rPr>
      <w:rFonts w:eastAsiaTheme="minorEastAsia"/>
    </w:rPr>
  </w:style>
  <w:style w:type="paragraph" w:customStyle="1" w:styleId="ECHRFooterLine">
    <w:name w:val="ECHR_Footer_Line"/>
    <w:aliases w:val="Footer_Line"/>
    <w:basedOn w:val="Normale"/>
    <w:next w:val="ECHRFooter"/>
    <w:uiPriority w:val="57"/>
    <w:semiHidden/>
    <w:rsid w:val="00437336"/>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437336"/>
  </w:style>
  <w:style w:type="paragraph" w:customStyle="1" w:styleId="DecList">
    <w:name w:val="Dec_List"/>
    <w:basedOn w:val="Normale"/>
    <w:uiPriority w:val="9"/>
    <w:semiHidden/>
    <w:qFormat/>
    <w:rsid w:val="00437336"/>
    <w:pPr>
      <w:spacing w:before="240"/>
      <w:ind w:left="284"/>
    </w:pPr>
  </w:style>
  <w:style w:type="paragraph" w:customStyle="1" w:styleId="DummyStyle">
    <w:name w:val="Dummy_Style"/>
    <w:basedOn w:val="Normale"/>
    <w:semiHidden/>
    <w:qFormat/>
    <w:rsid w:val="00437336"/>
    <w:rPr>
      <w:color w:val="00B050"/>
    </w:rPr>
  </w:style>
  <w:style w:type="paragraph" w:customStyle="1" w:styleId="ECHRTitleCentre3">
    <w:name w:val="ECHR_Title_Centre_3"/>
    <w:aliases w:val="Ju_H_Article"/>
    <w:basedOn w:val="Normale"/>
    <w:next w:val="ECHRParaQuote"/>
    <w:uiPriority w:val="27"/>
    <w:qFormat/>
    <w:rsid w:val="0043733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437336"/>
    <w:pPr>
      <w:keepNext/>
      <w:keepLines/>
      <w:spacing w:after="240"/>
      <w:jc w:val="center"/>
      <w:outlineLvl w:val="0"/>
    </w:pPr>
    <w:rPr>
      <w:rFonts w:asciiTheme="majorHAnsi" w:hAnsiTheme="majorHAnsi"/>
      <w:sz w:val="28"/>
    </w:rPr>
  </w:style>
  <w:style w:type="paragraph" w:customStyle="1" w:styleId="JuAppQuestion">
    <w:name w:val="Ju_App_Question"/>
    <w:basedOn w:val="Normale"/>
    <w:uiPriority w:val="5"/>
    <w:semiHidden/>
    <w:qFormat/>
    <w:rsid w:val="00437336"/>
    <w:pPr>
      <w:numPr>
        <w:numId w:val="14"/>
      </w:numPr>
      <w:jc w:val="left"/>
    </w:pPr>
    <w:rPr>
      <w:b/>
    </w:rPr>
  </w:style>
  <w:style w:type="paragraph" w:customStyle="1" w:styleId="JuCourt">
    <w:name w:val="Ju_Court"/>
    <w:basedOn w:val="Normale"/>
    <w:next w:val="Normale"/>
    <w:uiPriority w:val="16"/>
    <w:qFormat/>
    <w:rsid w:val="00437336"/>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437336"/>
    <w:pPr>
      <w:tabs>
        <w:tab w:val="clear" w:pos="3686"/>
        <w:tab w:val="clear" w:pos="7371"/>
        <w:tab w:val="center" w:pos="6146"/>
        <w:tab w:val="right" w:pos="12293"/>
      </w:tabs>
    </w:pPr>
  </w:style>
  <w:style w:type="paragraph" w:customStyle="1" w:styleId="ECHRTitleCentre2">
    <w:name w:val="ECHR_Title_Centre_2"/>
    <w:aliases w:val="Dec_H_Case"/>
    <w:basedOn w:val="Normale"/>
    <w:next w:val="ECHRPara"/>
    <w:uiPriority w:val="8"/>
    <w:qFormat/>
    <w:rsid w:val="00437336"/>
    <w:pPr>
      <w:spacing w:after="240"/>
      <w:jc w:val="center"/>
      <w:outlineLvl w:val="0"/>
    </w:pPr>
    <w:rPr>
      <w:rFonts w:asciiTheme="majorHAnsi" w:hAnsiTheme="majorHAnsi"/>
      <w:i/>
    </w:rPr>
  </w:style>
  <w:style w:type="paragraph" w:customStyle="1" w:styleId="JuInitialled">
    <w:name w:val="Ju_Initialled"/>
    <w:basedOn w:val="Normale"/>
    <w:uiPriority w:val="31"/>
    <w:qFormat/>
    <w:rsid w:val="00437336"/>
    <w:pPr>
      <w:tabs>
        <w:tab w:val="center" w:pos="6407"/>
      </w:tabs>
      <w:spacing w:before="720"/>
      <w:jc w:val="right"/>
    </w:pPr>
  </w:style>
  <w:style w:type="paragraph" w:styleId="Titolo">
    <w:name w:val="Title"/>
    <w:basedOn w:val="Normale"/>
    <w:next w:val="Normale"/>
    <w:link w:val="TitoloCarattere"/>
    <w:uiPriority w:val="99"/>
    <w:semiHidden/>
    <w:qFormat/>
    <w:rsid w:val="0043733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437336"/>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43733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43733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43733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437336"/>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437336"/>
    <w:pPr>
      <w:keepNext/>
      <w:keepLines/>
      <w:spacing w:before="240" w:after="120"/>
      <w:ind w:left="1236"/>
    </w:pPr>
    <w:rPr>
      <w:sz w:val="20"/>
    </w:rPr>
  </w:style>
  <w:style w:type="character" w:customStyle="1" w:styleId="JuITMark">
    <w:name w:val="Ju_ITMark"/>
    <w:basedOn w:val="Carpredefinitoparagrafo"/>
    <w:uiPriority w:val="38"/>
    <w:qFormat/>
    <w:rsid w:val="00437336"/>
    <w:rPr>
      <w:vanish w:val="0"/>
      <w:color w:val="auto"/>
      <w:sz w:val="14"/>
    </w:rPr>
  </w:style>
  <w:style w:type="paragraph" w:customStyle="1" w:styleId="JuListi">
    <w:name w:val="Ju_List_i"/>
    <w:basedOn w:val="Normale"/>
    <w:next w:val="JuLista"/>
    <w:uiPriority w:val="28"/>
    <w:qFormat/>
    <w:rsid w:val="00437336"/>
    <w:pPr>
      <w:ind w:left="794"/>
    </w:pPr>
  </w:style>
  <w:style w:type="character" w:customStyle="1" w:styleId="JUNAMES">
    <w:name w:val="JU_NAMES"/>
    <w:uiPriority w:val="17"/>
    <w:qFormat/>
    <w:rsid w:val="00437336"/>
    <w:rPr>
      <w:caps w:val="0"/>
      <w:smallCaps/>
    </w:rPr>
  </w:style>
  <w:style w:type="paragraph" w:styleId="Intestazione">
    <w:name w:val="header"/>
    <w:basedOn w:val="Normale"/>
    <w:link w:val="IntestazioneCarattere"/>
    <w:uiPriority w:val="57"/>
    <w:semiHidden/>
    <w:rsid w:val="00437336"/>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437336"/>
    <w:rPr>
      <w:sz w:val="24"/>
    </w:rPr>
  </w:style>
  <w:style w:type="character" w:customStyle="1" w:styleId="Titolo1Carattere">
    <w:name w:val="Titolo 1 Carattere"/>
    <w:basedOn w:val="Carpredefinitoparagrafo"/>
    <w:link w:val="Titolo1"/>
    <w:uiPriority w:val="99"/>
    <w:semiHidden/>
    <w:rsid w:val="00437336"/>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43733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437336"/>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437336"/>
    <w:rPr>
      <w:rFonts w:asciiTheme="majorHAnsi" w:eastAsiaTheme="majorEastAsia" w:hAnsiTheme="majorHAnsi" w:cstheme="majorBidi"/>
      <w:b/>
      <w:bCs/>
      <w:color w:val="4D4D4D"/>
      <w:sz w:val="26"/>
      <w:szCs w:val="26"/>
    </w:rPr>
  </w:style>
  <w:style w:type="paragraph" w:customStyle="1" w:styleId="JuParaSub">
    <w:name w:val="Ju_Para_Sub"/>
    <w:basedOn w:val="ECHRPara"/>
    <w:uiPriority w:val="13"/>
    <w:unhideWhenUsed/>
    <w:qFormat/>
    <w:rsid w:val="00437336"/>
    <w:pPr>
      <w:ind w:left="284"/>
    </w:pPr>
  </w:style>
  <w:style w:type="paragraph" w:customStyle="1" w:styleId="ECHRDecisionBody">
    <w:name w:val="ECHR_Decision_Body"/>
    <w:aliases w:val="Ju_Judges"/>
    <w:basedOn w:val="Normale"/>
    <w:uiPriority w:val="11"/>
    <w:qFormat/>
    <w:rsid w:val="00437336"/>
    <w:pPr>
      <w:tabs>
        <w:tab w:val="left" w:pos="567"/>
        <w:tab w:val="left" w:pos="1134"/>
      </w:tabs>
      <w:jc w:val="left"/>
    </w:pPr>
  </w:style>
  <w:style w:type="character" w:customStyle="1" w:styleId="Titolo3Carattere">
    <w:name w:val="Titolo 3 Carattere"/>
    <w:basedOn w:val="Carpredefinitoparagrafo"/>
    <w:link w:val="Titolo3"/>
    <w:uiPriority w:val="99"/>
    <w:semiHidden/>
    <w:rsid w:val="00437336"/>
    <w:rPr>
      <w:rFonts w:asciiTheme="majorHAnsi" w:eastAsiaTheme="majorEastAsia" w:hAnsiTheme="majorHAnsi" w:cstheme="majorBidi"/>
      <w:b/>
      <w:bCs/>
      <w:color w:val="5F5F5F"/>
      <w:sz w:val="24"/>
    </w:rPr>
  </w:style>
  <w:style w:type="paragraph" w:customStyle="1" w:styleId="ECHRPara">
    <w:name w:val="ECHR_Para"/>
    <w:aliases w:val="Ju_Para"/>
    <w:basedOn w:val="Normale"/>
    <w:link w:val="ECHRParaChar"/>
    <w:uiPriority w:val="12"/>
    <w:qFormat/>
    <w:rsid w:val="00437336"/>
    <w:pPr>
      <w:ind w:firstLine="284"/>
    </w:pPr>
  </w:style>
  <w:style w:type="character" w:customStyle="1" w:styleId="Titolo4Carattere">
    <w:name w:val="Titolo 4 Carattere"/>
    <w:basedOn w:val="Carpredefinitoparagrafo"/>
    <w:link w:val="Titolo4"/>
    <w:uiPriority w:val="99"/>
    <w:semiHidden/>
    <w:rsid w:val="00437336"/>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437336"/>
    <w:rPr>
      <w:rFonts w:asciiTheme="majorHAnsi" w:eastAsiaTheme="majorEastAsia" w:hAnsiTheme="majorHAnsi" w:cstheme="majorBidi"/>
      <w:b/>
      <w:bCs/>
      <w:color w:val="808080"/>
    </w:rPr>
  </w:style>
  <w:style w:type="character" w:styleId="Enfasidelicata">
    <w:name w:val="Subtle Emphasis"/>
    <w:uiPriority w:val="99"/>
    <w:semiHidden/>
    <w:qFormat/>
    <w:rsid w:val="00437336"/>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437336"/>
    <w:pPr>
      <w:keepNext/>
      <w:keepLines/>
      <w:spacing w:before="720" w:after="240"/>
      <w:outlineLvl w:val="0"/>
    </w:pPr>
    <w:rPr>
      <w:rFonts w:asciiTheme="majorHAnsi" w:hAnsiTheme="majorHAnsi"/>
      <w:sz w:val="28"/>
    </w:rPr>
  </w:style>
  <w:style w:type="character" w:styleId="Enfasicorsivo">
    <w:name w:val="Emphasis"/>
    <w:uiPriority w:val="99"/>
    <w:semiHidden/>
    <w:qFormat/>
    <w:rsid w:val="00437336"/>
    <w:rPr>
      <w:b/>
      <w:bCs/>
      <w:i/>
      <w:iCs/>
      <w:spacing w:val="10"/>
      <w:bdr w:val="none" w:sz="0" w:space="0" w:color="auto"/>
      <w:shd w:val="clear" w:color="auto" w:fill="auto"/>
    </w:rPr>
  </w:style>
  <w:style w:type="paragraph" w:styleId="Pidipagina">
    <w:name w:val="footer"/>
    <w:basedOn w:val="Normale"/>
    <w:link w:val="PidipaginaCarattere"/>
    <w:uiPriority w:val="57"/>
    <w:semiHidden/>
    <w:rsid w:val="00437336"/>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437336"/>
    <w:rPr>
      <w:sz w:val="24"/>
    </w:rPr>
  </w:style>
  <w:style w:type="character" w:styleId="Rimandonotaapidipagina">
    <w:name w:val="footnote reference"/>
    <w:basedOn w:val="Carpredefinitoparagrafo"/>
    <w:uiPriority w:val="99"/>
    <w:semiHidden/>
    <w:rsid w:val="00437336"/>
    <w:rPr>
      <w:vertAlign w:val="superscript"/>
    </w:rPr>
  </w:style>
  <w:style w:type="paragraph" w:styleId="Testonotaapidipagina">
    <w:name w:val="footnote text"/>
    <w:basedOn w:val="Normale"/>
    <w:link w:val="TestonotaapidipaginaCarattere"/>
    <w:uiPriority w:val="99"/>
    <w:semiHidden/>
    <w:rsid w:val="00437336"/>
    <w:rPr>
      <w:sz w:val="20"/>
      <w:szCs w:val="20"/>
    </w:rPr>
  </w:style>
  <w:style w:type="character" w:customStyle="1" w:styleId="TestonotaapidipaginaCarattere">
    <w:name w:val="Testo nota a piè di pagina Carattere"/>
    <w:basedOn w:val="Carpredefinitoparagrafo"/>
    <w:link w:val="Testonotaapidipagina"/>
    <w:uiPriority w:val="99"/>
    <w:semiHidden/>
    <w:rsid w:val="00437336"/>
    <w:rPr>
      <w:rFonts w:eastAsiaTheme="minorEastAsia"/>
      <w:sz w:val="20"/>
      <w:szCs w:val="20"/>
    </w:rPr>
  </w:style>
  <w:style w:type="character" w:customStyle="1" w:styleId="Titolo6Carattere">
    <w:name w:val="Titolo 6 Carattere"/>
    <w:basedOn w:val="Carpredefinitoparagrafo"/>
    <w:link w:val="Titolo6"/>
    <w:uiPriority w:val="99"/>
    <w:semiHidden/>
    <w:rsid w:val="00437336"/>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437336"/>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437336"/>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437336"/>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437336"/>
    <w:rPr>
      <w:color w:val="0072BC" w:themeColor="hyperlink"/>
      <w:u w:val="single"/>
    </w:rPr>
  </w:style>
  <w:style w:type="character" w:styleId="Enfasiintensa">
    <w:name w:val="Intense Emphasis"/>
    <w:uiPriority w:val="99"/>
    <w:semiHidden/>
    <w:qFormat/>
    <w:rsid w:val="00437336"/>
    <w:rPr>
      <w:b/>
      <w:bCs/>
    </w:rPr>
  </w:style>
  <w:style w:type="paragraph" w:styleId="Citazioneintensa">
    <w:name w:val="Intense Quote"/>
    <w:basedOn w:val="Normale"/>
    <w:next w:val="Normale"/>
    <w:link w:val="CitazioneintensaCarattere"/>
    <w:uiPriority w:val="99"/>
    <w:semiHidden/>
    <w:qFormat/>
    <w:rsid w:val="00437336"/>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437336"/>
    <w:rPr>
      <w:rFonts w:eastAsiaTheme="minorEastAsia"/>
      <w:b/>
      <w:bCs/>
      <w:i/>
      <w:iCs/>
      <w:lang w:bidi="en-US"/>
    </w:rPr>
  </w:style>
  <w:style w:type="character" w:styleId="Riferimentointenso">
    <w:name w:val="Intense Reference"/>
    <w:uiPriority w:val="99"/>
    <w:semiHidden/>
    <w:qFormat/>
    <w:rsid w:val="00437336"/>
    <w:rPr>
      <w:smallCaps/>
      <w:spacing w:val="5"/>
      <w:u w:val="single"/>
    </w:rPr>
  </w:style>
  <w:style w:type="paragraph" w:styleId="Paragrafoelenco">
    <w:name w:val="List Paragraph"/>
    <w:basedOn w:val="Normale"/>
    <w:uiPriority w:val="99"/>
    <w:semiHidden/>
    <w:qFormat/>
    <w:rsid w:val="00437336"/>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437336"/>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437336"/>
    <w:rPr>
      <w:rFonts w:eastAsiaTheme="minorEastAsia"/>
      <w:i/>
      <w:iCs/>
      <w:lang w:bidi="en-US"/>
    </w:rPr>
  </w:style>
  <w:style w:type="character" w:styleId="Riferimentodelicato">
    <w:name w:val="Subtle Reference"/>
    <w:uiPriority w:val="99"/>
    <w:semiHidden/>
    <w:qFormat/>
    <w:rsid w:val="00437336"/>
    <w:rPr>
      <w:smallCaps/>
    </w:rPr>
  </w:style>
  <w:style w:type="table" w:styleId="Grigliatabella">
    <w:name w:val="Table Grid"/>
    <w:basedOn w:val="Tabellanormale"/>
    <w:uiPriority w:val="59"/>
    <w:semiHidden/>
    <w:rsid w:val="0043733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437336"/>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437336"/>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437336"/>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437336"/>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437336"/>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437336"/>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437336"/>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437336"/>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43733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437336"/>
    <w:pPr>
      <w:tabs>
        <w:tab w:val="center" w:pos="851"/>
        <w:tab w:val="center" w:pos="6407"/>
      </w:tabs>
      <w:spacing w:before="720"/>
      <w:jc w:val="left"/>
    </w:pPr>
  </w:style>
  <w:style w:type="paragraph" w:customStyle="1" w:styleId="JuQuotSub">
    <w:name w:val="Ju_Quot_Sub"/>
    <w:basedOn w:val="ECHRParaQuote"/>
    <w:uiPriority w:val="15"/>
    <w:qFormat/>
    <w:rsid w:val="00437336"/>
    <w:pPr>
      <w:ind w:left="567"/>
    </w:pPr>
  </w:style>
  <w:style w:type="paragraph" w:customStyle="1" w:styleId="JuCase">
    <w:name w:val="Ju_Case"/>
    <w:basedOn w:val="Normale"/>
    <w:next w:val="ECHRPara"/>
    <w:uiPriority w:val="10"/>
    <w:rsid w:val="00437336"/>
    <w:pPr>
      <w:ind w:firstLine="284"/>
    </w:pPr>
    <w:rPr>
      <w:b/>
    </w:rPr>
  </w:style>
  <w:style w:type="paragraph" w:customStyle="1" w:styleId="JuList">
    <w:name w:val="Ju_List"/>
    <w:basedOn w:val="Normale"/>
    <w:uiPriority w:val="28"/>
    <w:qFormat/>
    <w:rsid w:val="00437336"/>
    <w:pPr>
      <w:ind w:left="340" w:hanging="340"/>
    </w:pPr>
  </w:style>
  <w:style w:type="paragraph" w:customStyle="1" w:styleId="JuTitle">
    <w:name w:val="Ju_Title"/>
    <w:basedOn w:val="Normale"/>
    <w:next w:val="ECHRPara"/>
    <w:uiPriority w:val="3"/>
    <w:semiHidden/>
    <w:qFormat/>
    <w:rsid w:val="00437336"/>
    <w:pPr>
      <w:spacing w:before="720" w:after="240"/>
      <w:jc w:val="center"/>
      <w:outlineLvl w:val="0"/>
    </w:pPr>
    <w:rPr>
      <w:rFonts w:asciiTheme="majorHAnsi" w:hAnsiTheme="majorHAnsi"/>
      <w:b/>
      <w:caps/>
    </w:rPr>
  </w:style>
  <w:style w:type="character" w:styleId="Numeropagina">
    <w:name w:val="page number"/>
    <w:uiPriority w:val="99"/>
    <w:semiHidden/>
    <w:rsid w:val="00E77CB3"/>
    <w:rPr>
      <w:rFonts w:ascii="Times New Roman" w:hAnsi="Times New Roman" w:cs="Times New Roman"/>
      <w:sz w:val="18"/>
    </w:rPr>
  </w:style>
  <w:style w:type="paragraph" w:customStyle="1" w:styleId="OpiH1">
    <w:name w:val="Opi_H_1"/>
    <w:basedOn w:val="ECHRHeading2"/>
    <w:uiPriority w:val="42"/>
    <w:qFormat/>
    <w:rsid w:val="00437336"/>
    <w:pPr>
      <w:ind w:left="635" w:hanging="357"/>
      <w:outlineLvl w:val="2"/>
    </w:pPr>
  </w:style>
  <w:style w:type="paragraph" w:customStyle="1" w:styleId="JuParaLast">
    <w:name w:val="Ju_Para_Last"/>
    <w:basedOn w:val="Normale"/>
    <w:next w:val="ECHRPara"/>
    <w:uiPriority w:val="30"/>
    <w:qFormat/>
    <w:rsid w:val="00437336"/>
    <w:pPr>
      <w:keepNext/>
      <w:keepLines/>
      <w:spacing w:before="240"/>
      <w:ind w:firstLine="284"/>
    </w:p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Ha">
    <w:name w:val="Opi_H_a"/>
    <w:basedOn w:val="ECHRHeading3"/>
    <w:uiPriority w:val="43"/>
    <w:qFormat/>
    <w:rsid w:val="00437336"/>
    <w:pPr>
      <w:ind w:left="833" w:hanging="357"/>
      <w:outlineLvl w:val="3"/>
    </w:pPr>
    <w:rPr>
      <w:b/>
      <w:i w:val="0"/>
      <w:sz w:val="20"/>
    </w:r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OpiHA0">
    <w:name w:val="Opi_H_A"/>
    <w:basedOn w:val="ECHRHeading1"/>
    <w:next w:val="OpiPara"/>
    <w:uiPriority w:val="41"/>
    <w:qFormat/>
    <w:rsid w:val="00437336"/>
    <w:pPr>
      <w:tabs>
        <w:tab w:val="clear" w:pos="357"/>
      </w:tabs>
      <w:outlineLvl w:val="1"/>
    </w:pPr>
    <w:rPr>
      <w:b/>
    </w:rPr>
  </w:style>
  <w:style w:type="paragraph" w:styleId="Sottotitolo">
    <w:name w:val="Subtitle"/>
    <w:basedOn w:val="Normale"/>
    <w:next w:val="Normale"/>
    <w:link w:val="SottotitoloCarattere"/>
    <w:uiPriority w:val="99"/>
    <w:semiHidden/>
    <w:qFormat/>
    <w:rsid w:val="00437336"/>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437336"/>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437336"/>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437336"/>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437336"/>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JuLista">
    <w:name w:val="Ju_List_a"/>
    <w:basedOn w:val="JuList"/>
    <w:uiPriority w:val="28"/>
    <w:qFormat/>
    <w:rsid w:val="00437336"/>
    <w:pPr>
      <w:ind w:left="346" w:firstLine="0"/>
    </w:pPr>
  </w:style>
  <w:style w:type="paragraph" w:customStyle="1" w:styleId="OpiHi">
    <w:name w:val="Opi_H_i"/>
    <w:basedOn w:val="ECHRHeading4"/>
    <w:uiPriority w:val="44"/>
    <w:qFormat/>
    <w:rsid w:val="00437336"/>
    <w:pPr>
      <w:ind w:left="1037" w:hanging="357"/>
      <w:outlineLvl w:val="4"/>
    </w:pPr>
    <w:rPr>
      <w:b w:val="0"/>
      <w:i/>
    </w:rPr>
  </w:style>
  <w:style w:type="paragraph" w:customStyle="1" w:styleId="OpiPara">
    <w:name w:val="Opi_Para"/>
    <w:basedOn w:val="ECHRPara"/>
    <w:uiPriority w:val="46"/>
    <w:qFormat/>
    <w:rsid w:val="00437336"/>
  </w:style>
  <w:style w:type="paragraph" w:customStyle="1" w:styleId="OpiParaSub">
    <w:name w:val="Opi_Para_Sub"/>
    <w:basedOn w:val="JuParaSub"/>
    <w:uiPriority w:val="47"/>
    <w:unhideWhenUsed/>
    <w:qFormat/>
    <w:rsid w:val="00437336"/>
  </w:style>
  <w:style w:type="paragraph" w:customStyle="1" w:styleId="OpiQuot">
    <w:name w:val="Opi_Quot"/>
    <w:basedOn w:val="ECHRParaQuote"/>
    <w:uiPriority w:val="48"/>
    <w:qFormat/>
    <w:rsid w:val="00437336"/>
  </w:style>
  <w:style w:type="paragraph" w:customStyle="1" w:styleId="OpiQuotSub">
    <w:name w:val="Opi_Quot_Sub"/>
    <w:basedOn w:val="JuQuotSub"/>
    <w:uiPriority w:val="49"/>
    <w:qFormat/>
    <w:rsid w:val="00437336"/>
  </w:style>
  <w:style w:type="paragraph" w:customStyle="1" w:styleId="OpiTranslation">
    <w:name w:val="Opi_Translation"/>
    <w:basedOn w:val="Normale"/>
    <w:next w:val="OpiPara"/>
    <w:uiPriority w:val="40"/>
    <w:qFormat/>
    <w:rsid w:val="00437336"/>
    <w:pPr>
      <w:jc w:val="center"/>
      <w:outlineLvl w:val="0"/>
    </w:pPr>
    <w:rPr>
      <w:i/>
    </w:rPr>
  </w:style>
  <w:style w:type="character" w:customStyle="1" w:styleId="ECHRParaChar">
    <w:name w:val="ECHR_Para Char"/>
    <w:aliases w:val="Ju_Para Char"/>
    <w:link w:val="ECHRPara"/>
    <w:uiPriority w:val="12"/>
    <w:rsid w:val="004A3B56"/>
    <w:rPr>
      <w:rFonts w:eastAsiaTheme="minorEastAsia"/>
      <w:sz w:val="24"/>
    </w:rPr>
  </w:style>
  <w:style w:type="paragraph" w:styleId="Revisione">
    <w:name w:val="Revision"/>
    <w:hidden/>
    <w:uiPriority w:val="99"/>
    <w:semiHidden/>
    <w:rsid w:val="00A8487E"/>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84055">
      <w:bodyDiv w:val="1"/>
      <w:marLeft w:val="0"/>
      <w:marRight w:val="0"/>
      <w:marTop w:val="0"/>
      <w:marBottom w:val="0"/>
      <w:divBdr>
        <w:top w:val="none" w:sz="0" w:space="0" w:color="auto"/>
        <w:left w:val="none" w:sz="0" w:space="0" w:color="auto"/>
        <w:bottom w:val="none" w:sz="0" w:space="0" w:color="auto"/>
        <w:right w:val="none" w:sz="0" w:space="0" w:color="auto"/>
      </w:divBdr>
      <w:divsChild>
        <w:div w:id="408775609">
          <w:marLeft w:val="0"/>
          <w:marRight w:val="0"/>
          <w:marTop w:val="0"/>
          <w:marBottom w:val="0"/>
          <w:divBdr>
            <w:top w:val="none" w:sz="0" w:space="0" w:color="auto"/>
            <w:left w:val="none" w:sz="0" w:space="0" w:color="auto"/>
            <w:bottom w:val="none" w:sz="0" w:space="0" w:color="auto"/>
            <w:right w:val="none" w:sz="0" w:space="0" w:color="auto"/>
          </w:divBdr>
          <w:divsChild>
            <w:div w:id="740761790">
              <w:marLeft w:val="0"/>
              <w:marRight w:val="0"/>
              <w:marTop w:val="0"/>
              <w:marBottom w:val="0"/>
              <w:divBdr>
                <w:top w:val="none" w:sz="0" w:space="0" w:color="auto"/>
                <w:left w:val="none" w:sz="0" w:space="0" w:color="auto"/>
                <w:bottom w:val="none" w:sz="0" w:space="0" w:color="auto"/>
                <w:right w:val="none" w:sz="0" w:space="0" w:color="auto"/>
              </w:divBdr>
              <w:divsChild>
                <w:div w:id="1596281412">
                  <w:marLeft w:val="0"/>
                  <w:marRight w:val="0"/>
                  <w:marTop w:val="0"/>
                  <w:marBottom w:val="0"/>
                  <w:divBdr>
                    <w:top w:val="none" w:sz="0" w:space="0" w:color="auto"/>
                    <w:left w:val="none" w:sz="0" w:space="0" w:color="auto"/>
                    <w:bottom w:val="none" w:sz="0" w:space="0" w:color="auto"/>
                    <w:right w:val="none" w:sz="0" w:space="0" w:color="auto"/>
                  </w:divBdr>
                  <w:divsChild>
                    <w:div w:id="2143762769">
                      <w:marLeft w:val="0"/>
                      <w:marRight w:val="0"/>
                      <w:marTop w:val="0"/>
                      <w:marBottom w:val="0"/>
                      <w:divBdr>
                        <w:top w:val="none" w:sz="0" w:space="0" w:color="auto"/>
                        <w:left w:val="none" w:sz="0" w:space="0" w:color="auto"/>
                        <w:bottom w:val="none" w:sz="0" w:space="0" w:color="auto"/>
                        <w:right w:val="none" w:sz="0" w:space="0" w:color="auto"/>
                      </w:divBdr>
                      <w:divsChild>
                        <w:div w:id="673537317">
                          <w:marLeft w:val="0"/>
                          <w:marRight w:val="0"/>
                          <w:marTop w:val="0"/>
                          <w:marBottom w:val="0"/>
                          <w:divBdr>
                            <w:top w:val="none" w:sz="0" w:space="0" w:color="auto"/>
                            <w:left w:val="none" w:sz="0" w:space="0" w:color="auto"/>
                            <w:bottom w:val="none" w:sz="0" w:space="0" w:color="auto"/>
                            <w:right w:val="none" w:sz="0" w:space="0" w:color="auto"/>
                          </w:divBdr>
                          <w:divsChild>
                            <w:div w:id="18326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 w:id="206040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A8F0F-4ABE-4350-A531-3F6E084E5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69AE52-3C22-44A2-B280-D0AE6364352E}">
  <ds:schemaRefs>
    <ds:schemaRef ds:uri="http://schemas.microsoft.com/sharepoint/v3/contenttype/forms"/>
  </ds:schemaRefs>
</ds:datastoreItem>
</file>

<file path=customXml/itemProps3.xml><?xml version="1.0" encoding="utf-8"?>
<ds:datastoreItem xmlns:ds="http://schemas.openxmlformats.org/officeDocument/2006/customXml" ds:itemID="{FCDE223D-7EAE-4269-9B2C-07F9E30695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262294-A60D-4883-B96E-5FFBF01A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5995</Words>
  <Characters>34173</Characters>
  <Application>Microsoft Office Word</Application>
  <DocSecurity>0</DocSecurity>
  <Lines>284</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2016-09-20T10:58:00Z</dcterms:created>
  <dcterms:modified xsi:type="dcterms:W3CDTF">2016-09-20T10:58:00Z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